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中国共产党邢台市南和区纪律检查委员会</w:t>
      </w:r>
    </w:p>
    <w:p>
      <w:pPr>
        <w:adjustRightInd w:val="0"/>
        <w:snapToGrid w:val="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按照《预算法》、《地方预决算公开操作规程》和《河北省省级预算公开办法》规定，现将中国共产党邢台市南和区纪律检查委员会2021年部门预算公开如下：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仿宋" w:hAnsi="仿宋" w:eastAsia="方正仿宋_GBK" w:cs="Times New Roman"/>
          <w:b/>
          <w:sz w:val="32"/>
          <w:szCs w:val="32"/>
        </w:rPr>
      </w:pPr>
      <w:r>
        <w:rPr>
          <w:rFonts w:hint="eastAsia" w:ascii="仿宋" w:hAnsi="仿宋" w:eastAsia="方正仿宋_GBK" w:cs="Times New Roman"/>
          <w:b/>
          <w:sz w:val="32"/>
          <w:szCs w:val="32"/>
        </w:rPr>
        <w:t>部门</w:t>
      </w:r>
      <w:r>
        <w:rPr>
          <w:rFonts w:ascii="仿宋" w:hAnsi="仿宋" w:eastAsia="方正仿宋_GBK" w:cs="Times New Roman"/>
          <w:b/>
          <w:sz w:val="32"/>
          <w:szCs w:val="32"/>
        </w:rPr>
        <w:t>职责：</w:t>
      </w:r>
    </w:p>
    <w:p>
      <w:pPr>
        <w:ind w:firstLine="640"/>
        <w:rPr>
          <w:rFonts w:hint="eastAsia" w:ascii="仿宋_GB2312" w:hAnsi="仿宋_GB2312" w:eastAsia="仿宋_GB2312" w:cs="仿宋_GB2312"/>
          <w:sz w:val="32"/>
          <w:szCs w:val="32"/>
          <w:rtl w:val="0"/>
        </w:rPr>
      </w:pPr>
      <w:r>
        <w:rPr>
          <w:rFonts w:hint="eastAsia" w:ascii="仿宋_GB2312" w:hAnsi="仿宋_GB2312" w:eastAsia="仿宋_GB2312" w:cs="仿宋_GB2312"/>
          <w:sz w:val="32"/>
          <w:szCs w:val="32"/>
          <w:rtl w:val="0"/>
        </w:rPr>
        <w:t>（一）负责全</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党的纪律检查工作。贯彻落实党中央和省委、市委、</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委关于纪律检查工作的决策部署，维护的章程和其他党内法规，检查党的路线方针政策和决议的执行情况，协助</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委推进全面从严治党、加强党风廉政建设和组织协调反腐败工作。</w:t>
      </w:r>
    </w:p>
    <w:p>
      <w:pPr>
        <w:ind w:firstLine="640"/>
        <w:rPr>
          <w:rFonts w:hint="eastAsia" w:ascii="仿宋_GB2312" w:hAnsi="仿宋_GB2312" w:eastAsia="仿宋_GB2312" w:cs="仿宋_GB2312"/>
          <w:sz w:val="32"/>
          <w:szCs w:val="32"/>
          <w:rtl w:val="0"/>
        </w:rPr>
      </w:pPr>
      <w:r>
        <w:rPr>
          <w:rFonts w:hint="eastAsia" w:ascii="仿宋_GB2312" w:hAnsi="仿宋_GB2312" w:eastAsia="仿宋_GB2312" w:cs="仿宋_GB2312"/>
          <w:sz w:val="32"/>
          <w:szCs w:val="32"/>
          <w:rtl w:val="0"/>
        </w:rPr>
        <w:t>（二）依照党的章程和其他党内法规履行监督、执纪、问责职责。负责经常对党员进行遵守纪律的教育，作出关于维护党纪的决定；对</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委工作机关、</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委批准设立的党组（党委），各乡镇党委、纪委等党的组织和</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觉员的权利。</w:t>
      </w:r>
    </w:p>
    <w:p>
      <w:pPr>
        <w:ind w:firstLine="640"/>
        <w:rPr>
          <w:rFonts w:hint="eastAsia" w:ascii="仿宋_GB2312" w:hAnsi="仿宋_GB2312" w:eastAsia="仿宋_GB2312" w:cs="仿宋_GB2312"/>
          <w:sz w:val="32"/>
          <w:szCs w:val="32"/>
          <w:rtl w:val="0"/>
        </w:rPr>
      </w:pPr>
      <w:r>
        <w:rPr>
          <w:rFonts w:hint="eastAsia" w:ascii="仿宋_GB2312" w:hAnsi="仿宋_GB2312" w:eastAsia="仿宋_GB2312" w:cs="仿宋_GB2312"/>
          <w:sz w:val="32"/>
          <w:szCs w:val="32"/>
          <w:rtl w:val="0"/>
        </w:rPr>
        <w:t>（三）支持配合巡视、巡察工作。承担巡视、巡察整改日常监督责任，做好巡视、巡察整改督查督办工作，依规依纪依法处置巡视、巡察移交的反映领导干部问题线索。</w:t>
      </w:r>
    </w:p>
    <w:p>
      <w:pPr>
        <w:ind w:firstLine="640"/>
        <w:rPr>
          <w:rFonts w:hint="eastAsia" w:ascii="仿宋_GB2312" w:hAnsi="仿宋_GB2312" w:eastAsia="仿宋_GB2312" w:cs="仿宋_GB2312"/>
          <w:sz w:val="32"/>
          <w:szCs w:val="32"/>
          <w:rtl w:val="0"/>
        </w:rPr>
      </w:pPr>
      <w:r>
        <w:rPr>
          <w:rFonts w:hint="eastAsia" w:ascii="仿宋_GB2312" w:hAnsi="仿宋_GB2312" w:eastAsia="仿宋_GB2312" w:cs="仿宋_GB2312"/>
          <w:sz w:val="32"/>
          <w:szCs w:val="32"/>
          <w:rtl w:val="0"/>
        </w:rPr>
        <w:t>（四）负责全</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监察工作。贯彻落实党中央和省委、市委、</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委关于监察工作的决策部署，维护宪法法律，依法对</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委管理的行使公权力的公职人员进行监察，调查职务违法和职务犯罪，开展廉政建设和反腐败工作。</w:t>
      </w:r>
    </w:p>
    <w:p>
      <w:pPr>
        <w:ind w:firstLine="640"/>
        <w:rPr>
          <w:rFonts w:hint="eastAsia" w:ascii="仿宋_GB2312" w:hAnsi="仿宋_GB2312" w:eastAsia="仿宋_GB2312" w:cs="仿宋_GB2312"/>
          <w:sz w:val="32"/>
          <w:szCs w:val="32"/>
          <w:rtl w:val="0"/>
        </w:rPr>
      </w:pPr>
      <w:r>
        <w:rPr>
          <w:rFonts w:hint="eastAsia" w:ascii="仿宋_GB2312" w:hAnsi="仿宋_GB2312" w:eastAsia="仿宋_GB2312" w:cs="仿宋_GB2312"/>
          <w:sz w:val="32"/>
          <w:szCs w:val="32"/>
          <w:rtl w:val="0"/>
        </w:rPr>
        <w:t>（五）依照法律规定履行监督、调查、处置职责。推动开展廉政教育，对</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ind w:firstLine="640"/>
        <w:rPr>
          <w:rFonts w:hint="eastAsia" w:ascii="仿宋_GB2312" w:hAnsi="仿宋_GB2312" w:eastAsia="仿宋_GB2312" w:cs="仿宋_GB2312"/>
          <w:sz w:val="32"/>
          <w:szCs w:val="32"/>
          <w:rtl w:val="0"/>
        </w:rPr>
      </w:pPr>
      <w:r>
        <w:rPr>
          <w:rFonts w:hint="eastAsia" w:ascii="仿宋_GB2312" w:hAnsi="仿宋_GB2312" w:eastAsia="仿宋_GB2312" w:cs="仿宋_GB2312"/>
          <w:sz w:val="32"/>
          <w:szCs w:val="32"/>
          <w:rtl w:val="0"/>
        </w:rPr>
        <w:t>（六）负责组织协调全面从严治党、党风廉政建设和反腐败宣传教育工作。</w:t>
      </w:r>
    </w:p>
    <w:p>
      <w:pPr>
        <w:ind w:firstLine="640"/>
        <w:rPr>
          <w:rFonts w:hint="eastAsia" w:ascii="仿宋_GB2312" w:hAnsi="仿宋_GB2312" w:eastAsia="仿宋_GB2312" w:cs="仿宋_GB2312"/>
          <w:sz w:val="32"/>
          <w:szCs w:val="32"/>
          <w:rtl w:val="0"/>
        </w:rPr>
      </w:pPr>
      <w:r>
        <w:rPr>
          <w:rFonts w:hint="eastAsia" w:ascii="仿宋_GB2312" w:hAnsi="仿宋_GB2312" w:eastAsia="仿宋_GB2312" w:cs="仿宋_GB2312"/>
          <w:sz w:val="32"/>
          <w:szCs w:val="32"/>
          <w:rtl w:val="0"/>
        </w:rPr>
        <w:t>（七）负责综合分析全面从严治党、党风廉政建设和反腐败工作情况，对纪检监察工作重要理论及实践问题进行调查研究；制定或者修改全</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纪检监察法规制度，参与起草有关法律、法规和规范性文件。</w:t>
      </w:r>
    </w:p>
    <w:p>
      <w:pPr>
        <w:ind w:firstLine="640"/>
        <w:rPr>
          <w:rFonts w:hint="eastAsia" w:ascii="仿宋_GB2312" w:hAnsi="仿宋_GB2312" w:eastAsia="仿宋_GB2312" w:cs="仿宋_GB2312"/>
          <w:sz w:val="32"/>
          <w:szCs w:val="32"/>
          <w:rtl w:val="0"/>
        </w:rPr>
      </w:pPr>
      <w:r>
        <w:rPr>
          <w:rFonts w:hint="eastAsia" w:ascii="仿宋_GB2312" w:hAnsi="仿宋_GB2312" w:eastAsia="仿宋_GB2312" w:cs="仿宋_GB2312"/>
          <w:sz w:val="32"/>
          <w:szCs w:val="32"/>
          <w:rtl w:val="0"/>
        </w:rPr>
        <w:t>（八）负责组织协调全</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反腐败追逃追赃和防逃工作，督促有关单位做好相关工作。</w:t>
      </w:r>
    </w:p>
    <w:p>
      <w:pPr>
        <w:ind w:firstLine="640"/>
        <w:rPr>
          <w:rFonts w:hint="eastAsia" w:ascii="仿宋_GB2312" w:hAnsi="仿宋_GB2312" w:eastAsia="仿宋_GB2312" w:cs="仿宋_GB2312"/>
          <w:sz w:val="32"/>
          <w:szCs w:val="32"/>
          <w:rtl w:val="0"/>
        </w:rPr>
      </w:pPr>
      <w:r>
        <w:rPr>
          <w:rFonts w:hint="eastAsia" w:ascii="仿宋_GB2312" w:hAnsi="仿宋_GB2312" w:eastAsia="仿宋_GB2312" w:cs="仿宋_GB2312"/>
          <w:sz w:val="32"/>
          <w:szCs w:val="32"/>
          <w:rtl w:val="0"/>
        </w:rPr>
        <w:t>（九）根据干部管理权限，负责全</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纪检监察系统领导班子建设、干部队伍建设和组织建设的综合规划、政策研究、制度建设和业务指导；会同</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委组织部负责</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委巡察办的科级干部提名、考察，报</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委任免；根据干部管理权限负责</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委巡察办科级及以下干部人事工作。会同有关方面做好乡镇纪委纪检监察机构、</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直机关纪委领导班子建设有关工作；组织和指导全</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纪检监察系统干部教育培训工作等。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rPr>
        <w:t>（十）完成市纪委、市监委和</w:t>
      </w:r>
      <w:r>
        <w:rPr>
          <w:rFonts w:hint="eastAsia" w:ascii="仿宋_GB2312" w:hAnsi="仿宋_GB2312" w:eastAsia="仿宋_GB2312" w:cs="仿宋_GB2312"/>
          <w:sz w:val="32"/>
          <w:szCs w:val="32"/>
          <w:rtl w:val="0"/>
          <w:lang w:eastAsia="zh-CN"/>
        </w:rPr>
        <w:t>区</w:t>
      </w:r>
      <w:r>
        <w:rPr>
          <w:rFonts w:hint="eastAsia" w:ascii="仿宋_GB2312" w:hAnsi="仿宋_GB2312" w:eastAsia="仿宋_GB2312" w:cs="仿宋_GB2312"/>
          <w:sz w:val="32"/>
          <w:szCs w:val="32"/>
          <w:rtl w:val="0"/>
        </w:rPr>
        <w:t>委交办的其他任务。</w:t>
      </w: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10"/>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4417" w:type="dxa"/>
            <w:vAlign w:val="center"/>
          </w:tcPr>
          <w:p>
            <w:pPr>
              <w:spacing w:line="300" w:lineRule="exact"/>
              <w:jc w:val="center"/>
              <w:rPr>
                <w:rFonts w:hint="eastAsia" w:ascii="方正书宋_GBK" w:eastAsia="方正书宋_GBK"/>
                <w:lang w:eastAsia="zh-CN"/>
              </w:rPr>
            </w:pPr>
          </w:p>
          <w:p>
            <w:pPr>
              <w:spacing w:line="300" w:lineRule="exact"/>
              <w:jc w:val="center"/>
              <w:rPr>
                <w:rFonts w:hint="eastAsia" w:ascii="方正书宋_GBK" w:eastAsia="方正书宋_GBK"/>
                <w:lang w:eastAsia="zh-CN"/>
              </w:rPr>
            </w:pPr>
            <w:r>
              <w:rPr>
                <w:rFonts w:hint="eastAsia" w:ascii="方正书宋_GBK" w:eastAsia="方正书宋_GBK"/>
                <w:lang w:eastAsia="zh-CN"/>
              </w:rPr>
              <w:t>中国共产党邢台市南和区纪律检查委员会</w:t>
            </w:r>
          </w:p>
          <w:p>
            <w:pPr>
              <w:spacing w:line="300" w:lineRule="exact"/>
              <w:jc w:val="center"/>
              <w:rPr>
                <w:rFonts w:hint="eastAsia" w:ascii="方正书宋_GBK" w:eastAsia="方正书宋_GBK"/>
              </w:rPr>
            </w:pP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部门预算的编制实行综合预算管理，即全部收入和支出都反映的预算中。</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1、收入说明</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反映本部门当年全部收入。2021年预算收入</w:t>
      </w:r>
      <w:r>
        <w:rPr>
          <w:rFonts w:hint="eastAsia" w:ascii="仿宋_GB2312" w:hAnsi="仿宋_GB2312" w:eastAsia="仿宋_GB2312" w:cs="仿宋_GB2312"/>
          <w:sz w:val="32"/>
          <w:szCs w:val="32"/>
          <w:lang w:val="en-US" w:eastAsia="zh-CN"/>
        </w:rPr>
        <w:t>1118390.194</w:t>
      </w:r>
      <w:r>
        <w:rPr>
          <w:rFonts w:hint="eastAsia" w:ascii="仿宋_GB2312" w:hAnsi="仿宋_GB2312" w:eastAsia="仿宋_GB2312" w:cs="仿宋_GB2312"/>
          <w:sz w:val="32"/>
          <w:szCs w:val="32"/>
        </w:rPr>
        <w:t>元，其中：一般公共预算收入</w:t>
      </w:r>
      <w:r>
        <w:rPr>
          <w:rFonts w:hint="eastAsia" w:ascii="仿宋_GB2312" w:hAnsi="仿宋_GB2312" w:eastAsia="仿宋_GB2312" w:cs="仿宋_GB2312"/>
          <w:sz w:val="32"/>
          <w:szCs w:val="32"/>
          <w:lang w:val="en-US" w:eastAsia="zh-CN"/>
        </w:rPr>
        <w:t>10353183.27</w:t>
      </w:r>
      <w:r>
        <w:rPr>
          <w:rFonts w:hint="eastAsia" w:ascii="仿宋_GB2312" w:hAnsi="仿宋_GB2312" w:eastAsia="仿宋_GB2312" w:cs="仿宋_GB2312"/>
          <w:sz w:val="32"/>
          <w:szCs w:val="32"/>
        </w:rPr>
        <w:t>元，基金预算收入0元，财政专户核拨收入0元，其他来源收入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color w:val="000000" w:themeColor="text1"/>
          <w:sz w:val="32"/>
          <w:szCs w:val="32"/>
          <w14:textFill>
            <w14:solidFill>
              <w14:schemeClr w14:val="tx1"/>
            </w14:solidFill>
          </w14:textFill>
        </w:rPr>
        <w:t>上年结转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830718.67</w:t>
      </w:r>
      <w:r>
        <w:rPr>
          <w:rFonts w:hint="eastAsia" w:ascii="仿宋_GB2312" w:hAnsi="仿宋_GB2312" w:eastAsia="仿宋_GB2312" w:cs="仿宋_GB2312"/>
          <w:color w:val="000000" w:themeColor="text1"/>
          <w:sz w:val="32"/>
          <w:szCs w:val="32"/>
          <w14:textFill>
            <w14:solidFill>
              <w14:schemeClr w14:val="tx1"/>
            </w14:solidFill>
          </w14:textFill>
        </w:rPr>
        <w:t>万元。</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2、支出说明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收支预算总表支出栏、基本支出表、项目支出表按经济分类和支出功能分类科目编制，反映中国共产党邢台市南和区纪律检查委员会年度部门预算中支出预算的总体情况。2021年部门支出预算为</w:t>
      </w:r>
      <w:r>
        <w:rPr>
          <w:rFonts w:hint="eastAsia" w:ascii="仿宋_GB2312" w:hAnsi="仿宋_GB2312" w:eastAsia="仿宋_GB2312" w:cs="仿宋_GB2312"/>
          <w:sz w:val="32"/>
          <w:szCs w:val="32"/>
          <w:lang w:val="en-US" w:eastAsia="zh-CN"/>
        </w:rPr>
        <w:t>11183901.94</w:t>
      </w:r>
      <w:r>
        <w:rPr>
          <w:rFonts w:hint="eastAsia" w:ascii="仿宋_GB2312" w:hAnsi="仿宋_GB2312" w:eastAsia="仿宋_GB2312" w:cs="仿宋_GB2312"/>
          <w:sz w:val="32"/>
          <w:szCs w:val="32"/>
        </w:rPr>
        <w:t>元，其中基本支出</w:t>
      </w:r>
      <w:r>
        <w:rPr>
          <w:rFonts w:hint="eastAsia" w:ascii="仿宋_GB2312" w:hAnsi="仿宋_GB2312" w:eastAsia="仿宋_GB2312" w:cs="仿宋_GB2312"/>
          <w:sz w:val="32"/>
          <w:szCs w:val="32"/>
          <w:lang w:val="en-US" w:eastAsia="zh-CN"/>
        </w:rPr>
        <w:t>8825183.27</w:t>
      </w:r>
      <w:r>
        <w:rPr>
          <w:rFonts w:hint="eastAsia" w:ascii="仿宋_GB2312" w:hAnsi="仿宋_GB2312" w:eastAsia="仿宋_GB2312" w:cs="仿宋_GB2312"/>
          <w:sz w:val="32"/>
          <w:szCs w:val="32"/>
        </w:rPr>
        <w:t>元，包括人员经费</w:t>
      </w:r>
      <w:r>
        <w:rPr>
          <w:rFonts w:hint="eastAsia" w:ascii="仿宋_GB2312" w:hAnsi="仿宋_GB2312" w:eastAsia="仿宋_GB2312" w:cs="仿宋_GB2312"/>
          <w:sz w:val="32"/>
          <w:szCs w:val="32"/>
          <w:lang w:val="en-US" w:eastAsia="zh-CN"/>
        </w:rPr>
        <w:t>6792083.27</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2033100</w:t>
      </w:r>
      <w:r>
        <w:rPr>
          <w:rFonts w:hint="eastAsia" w:ascii="仿宋_GB2312" w:hAnsi="仿宋_GB2312" w:eastAsia="仿宋_GB2312" w:cs="仿宋_GB2312"/>
          <w:sz w:val="32"/>
          <w:szCs w:val="32"/>
        </w:rPr>
        <w:t>元；项目支出</w:t>
      </w:r>
      <w:r>
        <w:rPr>
          <w:rFonts w:hint="eastAsia" w:ascii="仿宋_GB2312" w:hAnsi="仿宋_GB2312" w:eastAsia="仿宋_GB2312" w:cs="仿宋_GB2312"/>
          <w:sz w:val="32"/>
          <w:szCs w:val="32"/>
          <w:lang w:val="en-US" w:eastAsia="zh-CN"/>
        </w:rPr>
        <w:t>1528000</w:t>
      </w:r>
      <w:r>
        <w:rPr>
          <w:rFonts w:hint="eastAsia" w:ascii="仿宋_GB2312" w:hAnsi="仿宋_GB2312" w:eastAsia="仿宋_GB2312" w:cs="仿宋_GB2312"/>
          <w:sz w:val="32"/>
          <w:szCs w:val="32"/>
        </w:rPr>
        <w:t>元，主要为</w:t>
      </w:r>
      <w:r>
        <w:rPr>
          <w:rFonts w:hint="eastAsia" w:ascii="仿宋_GB2312" w:hAnsi="仿宋_GB2312" w:eastAsia="仿宋_GB2312" w:cs="仿宋_GB2312"/>
          <w:sz w:val="32"/>
          <w:szCs w:val="32"/>
          <w:lang w:eastAsia="zh-CN"/>
        </w:rPr>
        <w:t>办案专用费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1000000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乡镇纪委人员工作经费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528000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上年结转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830718.67</w:t>
      </w:r>
      <w:r>
        <w:rPr>
          <w:rFonts w:hint="eastAsia" w:ascii="仿宋_GB2312" w:hAnsi="仿宋_GB2312" w:eastAsia="仿宋_GB2312" w:cs="仿宋_GB2312"/>
          <w:color w:val="000000" w:themeColor="text1"/>
          <w:sz w:val="32"/>
          <w:szCs w:val="32"/>
          <w14:textFill>
            <w14:solidFill>
              <w14:schemeClr w14:val="tx1"/>
            </w14:solidFill>
          </w14:textFill>
        </w:rPr>
        <w:t>元。</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3、比上年增减情况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2021年部门预算收支安排</w:t>
      </w:r>
      <w:r>
        <w:rPr>
          <w:rFonts w:hint="eastAsia" w:ascii="仿宋_GB2312" w:hAnsi="仿宋_GB2312" w:eastAsia="仿宋_GB2312" w:cs="仿宋_GB2312"/>
          <w:sz w:val="32"/>
          <w:szCs w:val="32"/>
          <w:lang w:val="en-US" w:eastAsia="zh-CN"/>
        </w:rPr>
        <w:t>11183901.94</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较2020年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3491895.95</w:t>
      </w:r>
      <w:r>
        <w:rPr>
          <w:rFonts w:hint="eastAsia" w:ascii="仿宋_GB2312" w:hAnsi="仿宋_GB2312" w:eastAsia="仿宋_GB2312" w:cs="仿宋_GB2312"/>
          <w:sz w:val="32"/>
          <w:szCs w:val="32"/>
        </w:rPr>
        <w:t>元，其中：基本支出增加</w:t>
      </w:r>
      <w:r>
        <w:rPr>
          <w:rFonts w:hint="eastAsia" w:ascii="仿宋_GB2312" w:hAnsi="仿宋_GB2312" w:eastAsia="仿宋_GB2312" w:cs="仿宋_GB2312"/>
          <w:sz w:val="32"/>
          <w:szCs w:val="32"/>
          <w:lang w:val="en-US" w:eastAsia="zh-CN"/>
        </w:rPr>
        <w:t>2361177.28</w:t>
      </w:r>
      <w:r>
        <w:rPr>
          <w:rFonts w:hint="eastAsia" w:ascii="仿宋_GB2312" w:hAnsi="仿宋_GB2312" w:eastAsia="仿宋_GB2312" w:cs="仿宋_GB2312"/>
          <w:sz w:val="32"/>
          <w:szCs w:val="32"/>
        </w:rPr>
        <w:t>元，主要是人员增加，相应增加人员经费和日常公用经费；项目支出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300000</w:t>
      </w:r>
      <w:r>
        <w:rPr>
          <w:rFonts w:hint="eastAsia" w:ascii="仿宋_GB2312" w:hAnsi="仿宋_GB2312" w:eastAsia="仿宋_GB2312" w:cs="仿宋_GB2312"/>
          <w:sz w:val="32"/>
          <w:szCs w:val="32"/>
        </w:rPr>
        <w:t>元，主要是</w:t>
      </w:r>
      <w:r>
        <w:rPr>
          <w:rFonts w:hint="eastAsia" w:ascii="仿宋_GB2312" w:hAnsi="仿宋_GB2312" w:eastAsia="仿宋_GB2312" w:cs="仿宋_GB2312"/>
          <w:sz w:val="32"/>
          <w:szCs w:val="32"/>
          <w:lang w:eastAsia="zh-CN"/>
        </w:rPr>
        <w:t>办案数量增多，相应经费增加</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上年结转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830718.67</w:t>
      </w:r>
      <w:r>
        <w:rPr>
          <w:rFonts w:hint="eastAsia" w:ascii="仿宋_GB2312" w:hAnsi="仿宋_GB2312" w:eastAsia="仿宋_GB2312" w:cs="仿宋_GB2312"/>
          <w:color w:val="000000" w:themeColor="text1"/>
          <w:sz w:val="32"/>
          <w:szCs w:val="32"/>
          <w14:textFill>
            <w14:solidFill>
              <w14:schemeClr w14:val="tx1"/>
            </w14:solidFill>
          </w14:textFill>
        </w:rPr>
        <w:t>元。</w:t>
      </w:r>
    </w:p>
    <w:p>
      <w:pPr>
        <w:autoSpaceDE w:val="0"/>
        <w:autoSpaceDN w:val="0"/>
        <w:adjustRightInd w:val="0"/>
        <w:ind w:firstLine="960" w:firstLineChars="300"/>
        <w:jc w:val="left"/>
        <w:rPr>
          <w:rFonts w:hint="eastAsia" w:ascii="黑体" w:hAnsi="黑体" w:eastAsia="黑体" w:cs="黑体"/>
          <w:sz w:val="32"/>
          <w:szCs w:val="32"/>
        </w:rPr>
      </w:pPr>
      <w:r>
        <w:rPr>
          <w:rFonts w:hint="eastAsia" w:ascii="黑体" w:hAnsi="黑体" w:eastAsia="黑体" w:cs="黑体"/>
          <w:sz w:val="32"/>
          <w:szCs w:val="32"/>
        </w:rPr>
        <w:t>三、日常公用经费安排情况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2021年，我部门日常公用经费共计安排</w:t>
      </w:r>
      <w:r>
        <w:rPr>
          <w:rFonts w:hint="eastAsia" w:ascii="仿宋_GB2312" w:hAnsi="仿宋_GB2312" w:eastAsia="仿宋_GB2312" w:cs="仿宋_GB2312"/>
          <w:sz w:val="32"/>
          <w:szCs w:val="32"/>
          <w:lang w:val="en-US" w:eastAsia="zh-CN"/>
        </w:rPr>
        <w:t>2033100</w:t>
      </w:r>
      <w:r>
        <w:rPr>
          <w:rFonts w:hint="eastAsia" w:ascii="仿宋_GB2312" w:hAnsi="仿宋_GB2312" w:eastAsia="仿宋_GB2312" w:cs="仿宋_GB2312"/>
          <w:sz w:val="32"/>
          <w:szCs w:val="32"/>
        </w:rPr>
        <w:t>元，主要用于保证机关正常运转的办公及印刷费、邮电费、差旅费、办公用房水电费、办公用房取暖费、日常维修费等支出。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2021年，我部门财政拨款“三公”经费预算安排</w:t>
      </w:r>
      <w:r>
        <w:rPr>
          <w:rFonts w:hint="eastAsia" w:ascii="仿宋_GB2312" w:hAnsi="仿宋_GB2312" w:eastAsia="仿宋_GB2312" w:cs="仿宋_GB2312"/>
          <w:sz w:val="32"/>
          <w:szCs w:val="32"/>
          <w:lang w:val="en-US" w:eastAsia="zh-CN"/>
        </w:rPr>
        <w:t>444000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lang w:val="en-US" w:eastAsia="zh-CN"/>
        </w:rPr>
        <w:t>2020年增加243000元。</w:t>
      </w:r>
      <w:r>
        <w:rPr>
          <w:rFonts w:hint="eastAsia" w:ascii="仿宋_GB2312" w:hAnsi="仿宋_GB2312" w:eastAsia="仿宋_GB2312" w:cs="仿宋_GB2312"/>
          <w:sz w:val="32"/>
          <w:szCs w:val="32"/>
        </w:rPr>
        <w:t>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,较2020年无变化</w:t>
      </w:r>
      <w:r>
        <w:rPr>
          <w:rFonts w:hint="eastAsia" w:ascii="仿宋_GB2312" w:hAnsi="仿宋_GB2312" w:eastAsia="仿宋_GB2312" w:cs="仿宋_GB2312"/>
          <w:sz w:val="32"/>
          <w:szCs w:val="32"/>
        </w:rPr>
        <w:t>；公务用车购置及运维费</w:t>
      </w:r>
      <w:r>
        <w:rPr>
          <w:rFonts w:hint="eastAsia" w:ascii="仿宋_GB2312" w:hAnsi="仿宋_GB2312" w:eastAsia="仿宋_GB2312" w:cs="仿宋_GB2312"/>
          <w:sz w:val="32"/>
          <w:szCs w:val="32"/>
          <w:lang w:val="en-US" w:eastAsia="zh-CN"/>
        </w:rPr>
        <w:t>440000</w:t>
      </w:r>
      <w:r>
        <w:rPr>
          <w:rFonts w:hint="eastAsia" w:ascii="仿宋_GB2312" w:hAnsi="仿宋_GB2312" w:eastAsia="仿宋_GB2312" w:cs="仿宋_GB2312"/>
          <w:sz w:val="32"/>
          <w:szCs w:val="32"/>
        </w:rPr>
        <w:t>元（其中：公务用车购置费</w:t>
      </w:r>
      <w:r>
        <w:rPr>
          <w:rFonts w:hint="eastAsia" w:ascii="仿宋_GB2312" w:hAnsi="仿宋_GB2312" w:eastAsia="仿宋_GB2312" w:cs="仿宋_GB2312"/>
          <w:sz w:val="32"/>
          <w:szCs w:val="32"/>
          <w:lang w:val="en-US" w:eastAsia="zh-CN"/>
        </w:rPr>
        <w:t>250000</w:t>
      </w:r>
      <w:r>
        <w:rPr>
          <w:rFonts w:hint="eastAsia" w:ascii="仿宋_GB2312" w:hAnsi="仿宋_GB2312" w:eastAsia="仿宋_GB2312" w:cs="仿宋_GB2312"/>
          <w:sz w:val="32"/>
          <w:szCs w:val="32"/>
        </w:rPr>
        <w:t>元，公务用车运行维护费</w:t>
      </w:r>
      <w:r>
        <w:rPr>
          <w:rFonts w:hint="eastAsia" w:ascii="仿宋_GB2312" w:hAnsi="仿宋_GB2312" w:eastAsia="仿宋_GB2312" w:cs="仿宋_GB2312"/>
          <w:sz w:val="32"/>
          <w:szCs w:val="32"/>
          <w:lang w:val="en-US" w:eastAsia="zh-CN"/>
        </w:rPr>
        <w:t>190000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，公务用车购置费较</w:t>
      </w:r>
      <w:r>
        <w:rPr>
          <w:rFonts w:hint="eastAsia" w:ascii="仿宋_GB2312" w:hAnsi="仿宋_GB2312" w:eastAsia="仿宋_GB2312" w:cs="仿宋_GB2312"/>
          <w:sz w:val="32"/>
          <w:szCs w:val="32"/>
          <w:lang w:val="en-US" w:eastAsia="zh-CN"/>
        </w:rPr>
        <w:t>2020年增加250000元，5辆执法车辆达到报废年限，且车辆无法在继续使用，需报废后新购置车辆，公务用车运行维护费减少6000元，主要原因为加强节约</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4000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，较去年减</w:t>
      </w:r>
      <w:r>
        <w:rPr>
          <w:rFonts w:hint="eastAsia" w:ascii="仿宋_GB2312" w:hAnsi="仿宋_GB2312" w:eastAsia="仿宋_GB2312" w:cs="仿宋_GB2312"/>
          <w:sz w:val="32"/>
          <w:szCs w:val="32"/>
          <w:lang w:val="en-US" w:eastAsia="zh-CN"/>
        </w:rPr>
        <w:t>1000元，主要原因为规范接待，节约开支</w:t>
      </w:r>
      <w:r>
        <w:rPr>
          <w:rFonts w:hint="eastAsia" w:ascii="仿宋_GB2312" w:hAnsi="仿宋_GB2312" w:eastAsia="仿宋_GB2312" w:cs="仿宋_GB2312"/>
          <w:sz w:val="32"/>
          <w:szCs w:val="32"/>
        </w:rPr>
        <w:t>。</w:t>
      </w:r>
    </w:p>
    <w:p>
      <w:pPr>
        <w:autoSpaceDE w:val="0"/>
        <w:autoSpaceDN w:val="0"/>
        <w:adjustRightInd w:val="0"/>
        <w:ind w:left="198" w:firstLine="640" w:firstLineChars="200"/>
        <w:jc w:val="left"/>
        <w:rPr>
          <w:rFonts w:hint="eastAsia" w:ascii="Times New Roman" w:hAnsi="Times New Roman" w:eastAsia="方正仿宋_GBK" w:cs="Times New Roman"/>
          <w:b/>
          <w:sz w:val="32"/>
          <w:szCs w:val="32"/>
        </w:rPr>
      </w:pPr>
      <w:r>
        <w:rPr>
          <w:rFonts w:hint="eastAsia" w:ascii="黑体" w:hAnsi="黑体" w:eastAsia="黑体" w:cs="Times New Roman"/>
          <w:sz w:val="32"/>
          <w:szCs w:val="32"/>
        </w:rPr>
        <w:t>五、预算绩效信息</w:t>
      </w:r>
      <w:bookmarkStart w:id="0" w:name="_Toc471398463"/>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第一部分  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楷体_GB2312" w:hAnsi="楷体_GB2312" w:eastAsia="楷体_GB2312" w:cs="楷体_GB2312"/>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autoSpaceDE w:val="0"/>
        <w:autoSpaceDN w:val="0"/>
        <w:adjustRightInd w:val="0"/>
        <w:ind w:left="198"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认真贯彻落实中央从严管党治党要求，严格执纪、监督、问责，抓好巡察监督、派驻监督、案件办理等工作，推动全区党风廉政建设和反腐败工作取得新成效，在全区形成风清气正、干事创业的政治新生态。</w:t>
      </w:r>
    </w:p>
    <w:p>
      <w:pPr>
        <w:spacing w:line="600" w:lineRule="exact"/>
        <w:ind w:firstLine="640" w:firstLineChars="200"/>
        <w:jc w:val="left"/>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（二）分项绩效目标</w:t>
      </w:r>
      <w:r>
        <w:rPr>
          <w:rFonts w:hint="eastAsia" w:ascii="楷体_GB2312" w:hAnsi="楷体_GB2312" w:eastAsia="楷体_GB2312" w:cs="楷体_GB2312"/>
        </w:rPr>
        <w:fldChar w:fldCharType="begin"/>
      </w:r>
      <w:r>
        <w:rPr>
          <w:rFonts w:hint="eastAsia" w:ascii="楷体_GB2312" w:hAnsi="楷体_GB2312" w:eastAsia="楷体_GB2312" w:cs="楷体_GB2312"/>
          <w:sz w:val="32"/>
          <w:szCs w:val="32"/>
        </w:rPr>
        <w:instrText xml:space="preserve"> TC </w:instrText>
      </w:r>
      <w:bookmarkStart w:id="2" w:name="_Toc29547415"/>
      <w:r>
        <w:rPr>
          <w:rFonts w:hint="eastAsia" w:ascii="楷体_GB2312" w:hAnsi="楷体_GB2312" w:eastAsia="楷体_GB2312" w:cs="楷体_GB2312"/>
          <w:sz w:val="32"/>
          <w:szCs w:val="32"/>
        </w:rPr>
        <w:instrText xml:space="preserve">分项绩效目标</w:instrText>
      </w:r>
      <w:bookmarkEnd w:id="2"/>
      <w:r>
        <w:rPr>
          <w:rFonts w:hint="eastAsia" w:ascii="楷体_GB2312" w:hAnsi="楷体_GB2312" w:eastAsia="楷体_GB2312" w:cs="楷体_GB2312"/>
          <w:sz w:val="32"/>
          <w:szCs w:val="32"/>
        </w:rPr>
        <w:instrText xml:space="preserve"> \f A \l 1 </w:instrText>
      </w:r>
      <w:r>
        <w:rPr>
          <w:rFonts w:hint="eastAsia" w:ascii="楷体_GB2312" w:hAnsi="楷体_GB2312" w:eastAsia="楷体_GB2312" w:cs="楷体_GB2312"/>
          <w:sz w:val="32"/>
          <w:szCs w:val="32"/>
        </w:rPr>
        <w:fldChar w:fldCharType="end"/>
      </w:r>
    </w:p>
    <w:p>
      <w:pPr>
        <w:autoSpaceDE w:val="0"/>
        <w:autoSpaceDN w:val="0"/>
        <w:adjustRightInd w:val="0"/>
        <w:ind w:left="198"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1、办案问责</w:t>
      </w:r>
    </w:p>
    <w:p>
      <w:pPr>
        <w:autoSpaceDE w:val="0"/>
        <w:autoSpaceDN w:val="0"/>
        <w:adjustRightInd w:val="0"/>
        <w:ind w:left="198" w:firstLine="960" w:firstLine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维护党纪国法尊严，坚决惩处腐败分子，有效遏制腐败现象。、</w:t>
      </w:r>
    </w:p>
    <w:p>
      <w:pPr>
        <w:autoSpaceDE w:val="0"/>
        <w:autoSpaceDN w:val="0"/>
        <w:adjustRightInd w:val="0"/>
        <w:ind w:left="198" w:firstLine="960" w:firstLine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绩效指标：工作完成率100%。</w:t>
      </w:r>
    </w:p>
    <w:p>
      <w:pPr>
        <w:numPr>
          <w:ilvl w:val="0"/>
          <w:numId w:val="1"/>
        </w:numPr>
        <w:autoSpaceDE w:val="0"/>
        <w:autoSpaceDN w:val="0"/>
        <w:adjustRightInd w:val="0"/>
        <w:ind w:left="198"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党风廉政建设</w:t>
      </w:r>
    </w:p>
    <w:p>
      <w:pPr>
        <w:numPr>
          <w:ilvl w:val="0"/>
          <w:numId w:val="0"/>
        </w:numPr>
        <w:autoSpaceDE w:val="0"/>
        <w:autoSpaceDN w:val="0"/>
        <w:adjustRightInd w:val="0"/>
        <w:ind w:firstLine="1280" w:firstLineChars="4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积极发挥职能作用，加强党风廉政建设，营造风清气正、干事创业的工作氛围。</w:t>
      </w:r>
    </w:p>
    <w:p>
      <w:pPr>
        <w:spacing w:line="600" w:lineRule="exact"/>
        <w:ind w:firstLine="1280" w:firstLineChars="4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绩效指标：工作完成率100%。</w:t>
      </w:r>
    </w:p>
    <w:p>
      <w:pPr>
        <w:numPr>
          <w:ilvl w:val="0"/>
          <w:numId w:val="1"/>
        </w:numPr>
        <w:autoSpaceDE w:val="0"/>
        <w:autoSpaceDN w:val="0"/>
        <w:adjustRightInd w:val="0"/>
        <w:ind w:left="198" w:leftChars="0"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监督检查及巡视监督</w:t>
      </w:r>
    </w:p>
    <w:p>
      <w:pPr>
        <w:numPr>
          <w:ilvl w:val="0"/>
          <w:numId w:val="0"/>
        </w:numPr>
        <w:autoSpaceDE w:val="0"/>
        <w:autoSpaceDN w:val="0"/>
        <w:adjustRightInd w:val="0"/>
        <w:ind w:leftChars="200" w:firstLine="960" w:firstLine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加大问责力度，促进“两个责任”有效落实。</w:t>
      </w:r>
    </w:p>
    <w:p>
      <w:pPr>
        <w:numPr>
          <w:ilvl w:val="0"/>
          <w:numId w:val="0"/>
        </w:numPr>
        <w:autoSpaceDE w:val="0"/>
        <w:autoSpaceDN w:val="0"/>
        <w:adjustRightInd w:val="0"/>
        <w:ind w:leftChars="200" w:firstLine="960" w:firstLine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绩效指标：工作完成率100%。</w:t>
      </w:r>
    </w:p>
    <w:p>
      <w:pPr>
        <w:spacing w:line="600" w:lineRule="exact"/>
        <w:ind w:firstLine="640" w:firstLineChars="200"/>
        <w:jc w:val="left"/>
        <w:outlineLvl w:val="1"/>
        <w:rPr>
          <w:rFonts w:eastAsia="方正仿宋_GBK"/>
          <w:sz w:val="32"/>
          <w:szCs w:val="32"/>
        </w:rPr>
      </w:pPr>
      <w:r>
        <w:rPr>
          <w:rFonts w:hint="eastAsia" w:ascii="楷体_GB2312" w:hAnsi="楷体_GB2312" w:eastAsia="楷体_GB2312" w:cs="楷体_GB2312"/>
          <w:sz w:val="32"/>
          <w:szCs w:val="32"/>
        </w:rPr>
        <w:t>（三）工作保障措施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）加强制度建设。建立健全机关预算绩效管理制度，为全年预算绩效目标的实现奠定制度基础。</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）规范财务管理。进一步完善财务管理制度，通过科学编制预算、优化支出结构、加快政府采购、加快项目建设、及时拨付资金，确保经费支出进度达到规定标准。</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）加强内部控制。加强内部控制建设，对重大事项、资产处置及其他重要经济业务事项决策和执行进行监督，定期开展财务内部审计，确保财政资金使用安全有效。</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）加强绩效监控。积极开展绩效运行监控，发现问题及时采取措施，确保绩效目标如期保质实现。</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）做好绩效自评。按要求开展部门预算绩效自评和重点评价工作，对评价中发现的问题及时整改。</w:t>
      </w:r>
    </w:p>
    <w:p>
      <w:pPr>
        <w:spacing w:line="600" w:lineRule="exact"/>
        <w:ind w:firstLine="640" w:firstLineChars="200"/>
        <w:jc w:val="left"/>
        <w:rPr>
          <w:rFonts w:hint="eastAsia" w:ascii="仿宋_GB2312" w:hAnsi="仿宋_GB2312" w:eastAsia="仿宋_GB2312" w:cs="仿宋_GB2312"/>
          <w:sz w:val="28"/>
        </w:rPr>
        <w:sectPr>
          <w:footerReference r:id="rId3" w:type="default"/>
          <w:pgSz w:w="16839" w:h="11907" w:orient="landscape"/>
          <w:pgMar w:top="1304" w:right="1984" w:bottom="1304" w:left="1134" w:header="851" w:footer="992" w:gutter="0"/>
          <w:pgNumType w:start="1"/>
          <w:cols w:space="720" w:num="1"/>
          <w:docGrid w:type="lines" w:linePitch="312" w:charSpace="0"/>
        </w:sect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）加强宣传培训。加强人员培训，加大宣传力度，强化预算绩效管理意识，促进预算绩效管理水平提升。</w:t>
      </w:r>
    </w:p>
    <w:p>
      <w:pPr>
        <w:ind w:firstLine="640" w:firstLineChars="200"/>
        <w:jc w:val="left"/>
        <w:rPr>
          <w:rFonts w:hint="eastAsia"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300" w:lineRule="exact"/>
        <w:ind w:firstLine="420" w:firstLineChars="200"/>
        <w:jc w:val="left"/>
      </w:pPr>
    </w:p>
    <w:p>
      <w:pPr>
        <w:ind w:firstLine="560" w:firstLineChars="200"/>
        <w:jc w:val="left"/>
        <w:outlineLvl w:val="3"/>
        <w:rPr>
          <w:rFonts w:hAnsi="宋体"/>
          <w:b/>
          <w:sz w:val="28"/>
        </w:rPr>
      </w:pPr>
      <w:bookmarkStart w:id="4" w:name="_Toc60388188"/>
      <w:r>
        <w:rPr>
          <w:rFonts w:hint="eastAsia" w:ascii="方正仿宋_GBK" w:eastAsia="方正仿宋_GBK"/>
          <w:b/>
          <w:sz w:val="28"/>
        </w:rPr>
        <w:t>1、</w:t>
      </w:r>
      <w:r>
        <w:rPr>
          <w:rFonts w:hint="eastAsia" w:ascii="方正仿宋_GBK" w:eastAsia="方正仿宋_GBK"/>
          <w:b/>
          <w:sz w:val="28"/>
          <w:lang w:eastAsia="zh-CN"/>
        </w:rPr>
        <w:t>办案专用费</w:t>
      </w:r>
      <w:r>
        <w:rPr>
          <w:rFonts w:hint="eastAsia" w:ascii="方正仿宋_GBK" w:eastAsia="方正仿宋_GBK"/>
          <w:b/>
          <w:sz w:val="28"/>
        </w:rPr>
        <w:t>项目绩效目标表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12、河北\“智慧人大"建设项目（省人大办常委会办公厅信息化建设）绩效目标表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lang w:val="en-US" w:eastAsia="zh-CN"/>
              </w:rPr>
              <w:t>405001中国共产党邢台市南和区纪律检查委员会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1.支出及时。</w:t>
            </w:r>
          </w:p>
          <w:p>
            <w:pPr>
              <w:spacing w:line="300" w:lineRule="exact"/>
              <w:jc w:val="left"/>
              <w:rPr>
                <w:rFonts w:ascii="方正书宋_GBK" w:eastAsia="方正书宋_GBK"/>
              </w:rPr>
            </w:pPr>
            <w:r>
              <w:rPr>
                <w:rFonts w:hint="eastAsia" w:ascii="方正书宋_GBK" w:eastAsia="方正书宋_GBK"/>
              </w:rPr>
              <w:t>2.支出合理。</w:t>
            </w:r>
          </w:p>
        </w:tc>
      </w:tr>
    </w:tbl>
    <w:p>
      <w:pPr>
        <w:spacing w:line="14" w:lineRule="exact"/>
        <w:ind w:firstLine="420" w:firstLineChars="200"/>
        <w:jc w:val="center"/>
        <w:rPr>
          <w:rFonts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691"/>
        <w:gridCol w:w="2476"/>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二级指标</w:t>
            </w:r>
          </w:p>
        </w:tc>
        <w:tc>
          <w:tcPr>
            <w:tcW w:w="1691"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476"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691" w:type="dxa"/>
            <w:vAlign w:val="center"/>
          </w:tcPr>
          <w:p>
            <w:pPr>
              <w:spacing w:line="300" w:lineRule="exact"/>
              <w:jc w:val="left"/>
              <w:rPr>
                <w:rFonts w:ascii="方正书宋_GBK" w:eastAsia="方正书宋_GBK"/>
              </w:rPr>
            </w:pPr>
            <w:r>
              <w:rPr>
                <w:rFonts w:hint="eastAsia" w:ascii="方正书宋_GBK" w:eastAsia="方正书宋_GBK"/>
              </w:rPr>
              <w:t>支出金额</w:t>
            </w:r>
          </w:p>
        </w:tc>
        <w:tc>
          <w:tcPr>
            <w:tcW w:w="2476" w:type="dxa"/>
            <w:vAlign w:val="center"/>
          </w:tcPr>
          <w:p>
            <w:pPr>
              <w:spacing w:line="300" w:lineRule="exact"/>
              <w:jc w:val="left"/>
              <w:rPr>
                <w:rFonts w:ascii="方正书宋_GBK" w:eastAsia="方正书宋_GBK"/>
              </w:rPr>
            </w:pPr>
            <w:r>
              <w:rPr>
                <w:rFonts w:hint="eastAsia" w:ascii="方正书宋_GBK" w:eastAsia="方正书宋_GBK"/>
              </w:rPr>
              <w:t>支出金额准确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691" w:type="dxa"/>
            <w:vAlign w:val="center"/>
          </w:tcPr>
          <w:p>
            <w:pPr>
              <w:spacing w:line="300" w:lineRule="exact"/>
              <w:jc w:val="left"/>
              <w:rPr>
                <w:rFonts w:ascii="方正书宋_GBK" w:eastAsia="方正书宋_GBK"/>
              </w:rPr>
            </w:pPr>
            <w:r>
              <w:rPr>
                <w:rFonts w:hint="eastAsia" w:ascii="方正书宋_GBK" w:eastAsia="方正书宋_GBK"/>
              </w:rPr>
              <w:t>案件查办率</w:t>
            </w:r>
          </w:p>
        </w:tc>
        <w:tc>
          <w:tcPr>
            <w:tcW w:w="2476" w:type="dxa"/>
            <w:vAlign w:val="center"/>
          </w:tcPr>
          <w:p>
            <w:pPr>
              <w:spacing w:line="300" w:lineRule="exact"/>
              <w:jc w:val="left"/>
              <w:rPr>
                <w:rFonts w:ascii="方正书宋_GBK" w:eastAsia="方正书宋_GBK"/>
              </w:rPr>
            </w:pPr>
            <w:r>
              <w:rPr>
                <w:rFonts w:hint="eastAsia" w:ascii="方正书宋_GBK" w:eastAsia="方正书宋_GBK"/>
              </w:rPr>
              <w:t>案件查办质量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691" w:type="dxa"/>
            <w:vAlign w:val="center"/>
          </w:tcPr>
          <w:p>
            <w:pPr>
              <w:spacing w:line="300" w:lineRule="exact"/>
              <w:jc w:val="left"/>
              <w:rPr>
                <w:rFonts w:ascii="方正书宋_GBK" w:eastAsia="方正书宋_GBK"/>
              </w:rPr>
            </w:pPr>
            <w:r>
              <w:rPr>
                <w:rFonts w:hint="eastAsia" w:ascii="方正书宋_GBK" w:eastAsia="方正书宋_GBK"/>
              </w:rPr>
              <w:t>及时查办案件</w:t>
            </w:r>
          </w:p>
        </w:tc>
        <w:tc>
          <w:tcPr>
            <w:tcW w:w="2476" w:type="dxa"/>
            <w:vAlign w:val="center"/>
          </w:tcPr>
          <w:p>
            <w:pPr>
              <w:spacing w:line="300" w:lineRule="exact"/>
              <w:jc w:val="left"/>
              <w:rPr>
                <w:rFonts w:ascii="方正书宋_GBK" w:eastAsia="方正书宋_GBK"/>
              </w:rPr>
            </w:pPr>
            <w:r>
              <w:rPr>
                <w:rFonts w:hint="eastAsia" w:ascii="方正书宋_GBK" w:eastAsia="方正书宋_GBK"/>
              </w:rPr>
              <w:t>案件查办效率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691" w:type="dxa"/>
            <w:vAlign w:val="center"/>
          </w:tcPr>
          <w:p>
            <w:pPr>
              <w:spacing w:line="300" w:lineRule="exact"/>
              <w:jc w:val="left"/>
              <w:rPr>
                <w:rFonts w:ascii="方正书宋_GBK" w:eastAsia="方正书宋_GBK"/>
              </w:rPr>
            </w:pPr>
            <w:r>
              <w:rPr>
                <w:rFonts w:hint="eastAsia" w:ascii="方正书宋_GBK" w:eastAsia="方正书宋_GBK"/>
              </w:rPr>
              <w:t>成本高低</w:t>
            </w:r>
          </w:p>
        </w:tc>
        <w:tc>
          <w:tcPr>
            <w:tcW w:w="2476" w:type="dxa"/>
            <w:vAlign w:val="center"/>
          </w:tcPr>
          <w:p>
            <w:pPr>
              <w:spacing w:line="300" w:lineRule="exact"/>
              <w:jc w:val="left"/>
              <w:rPr>
                <w:rFonts w:ascii="方正书宋_GBK" w:eastAsia="方正书宋_GBK"/>
              </w:rPr>
            </w:pPr>
            <w:r>
              <w:rPr>
                <w:rFonts w:hint="eastAsia" w:ascii="方正书宋_GBK" w:eastAsia="方正书宋_GBK"/>
              </w:rPr>
              <w:t>成本是否控制到位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691" w:type="dxa"/>
            <w:vAlign w:val="center"/>
          </w:tcPr>
          <w:p>
            <w:pPr>
              <w:spacing w:line="300" w:lineRule="exact"/>
              <w:jc w:val="left"/>
              <w:rPr>
                <w:rFonts w:ascii="方正书宋_GBK" w:eastAsia="方正书宋_GBK"/>
              </w:rPr>
            </w:pPr>
            <w:r>
              <w:rPr>
                <w:rFonts w:hint="eastAsia" w:ascii="方正书宋_GBK" w:eastAsia="方正书宋_GBK"/>
              </w:rPr>
              <w:t>社会风气</w:t>
            </w:r>
          </w:p>
        </w:tc>
        <w:tc>
          <w:tcPr>
            <w:tcW w:w="2476" w:type="dxa"/>
            <w:vAlign w:val="center"/>
          </w:tcPr>
          <w:p>
            <w:pPr>
              <w:spacing w:line="300" w:lineRule="exact"/>
              <w:jc w:val="left"/>
              <w:rPr>
                <w:rFonts w:ascii="方正书宋_GBK" w:eastAsia="方正书宋_GBK"/>
              </w:rPr>
            </w:pPr>
            <w:r>
              <w:rPr>
                <w:rFonts w:hint="eastAsia" w:ascii="方正书宋_GBK" w:eastAsia="方正书宋_GBK"/>
              </w:rPr>
              <w:t>形成良好社会风气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691" w:type="dxa"/>
            <w:vAlign w:val="center"/>
          </w:tcPr>
          <w:p>
            <w:pPr>
              <w:spacing w:line="300" w:lineRule="exact"/>
              <w:jc w:val="left"/>
              <w:rPr>
                <w:rFonts w:ascii="方正书宋_GBK" w:eastAsia="方正书宋_GBK"/>
              </w:rPr>
            </w:pPr>
            <w:r>
              <w:rPr>
                <w:rFonts w:hint="eastAsia" w:ascii="方正书宋_GBK" w:eastAsia="方正书宋_GBK"/>
              </w:rPr>
              <w:t>收缴违纪资金</w:t>
            </w:r>
          </w:p>
        </w:tc>
        <w:tc>
          <w:tcPr>
            <w:tcW w:w="2476" w:type="dxa"/>
            <w:vAlign w:val="center"/>
          </w:tcPr>
          <w:p>
            <w:pPr>
              <w:spacing w:line="300" w:lineRule="exact"/>
              <w:jc w:val="left"/>
              <w:rPr>
                <w:rFonts w:ascii="方正书宋_GBK" w:eastAsia="方正书宋_GBK"/>
              </w:rPr>
            </w:pPr>
            <w:r>
              <w:rPr>
                <w:rFonts w:hint="eastAsia" w:ascii="方正书宋_GBK" w:eastAsia="方正书宋_GBK"/>
              </w:rPr>
              <w:t>国家资金合理利用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691" w:type="dxa"/>
            <w:vAlign w:val="center"/>
          </w:tcPr>
          <w:p>
            <w:pPr>
              <w:spacing w:line="300" w:lineRule="exact"/>
              <w:jc w:val="left"/>
              <w:rPr>
                <w:rFonts w:hint="eastAsia" w:ascii="方正书宋_GBK" w:eastAsia="方正书宋_GBK"/>
              </w:rPr>
            </w:pPr>
            <w:r>
              <w:rPr>
                <w:rFonts w:hint="eastAsia" w:ascii="方正书宋_GBK" w:eastAsia="方正书宋_GBK"/>
              </w:rPr>
              <w:t>案件警示效果</w:t>
            </w:r>
          </w:p>
        </w:tc>
        <w:tc>
          <w:tcPr>
            <w:tcW w:w="2476" w:type="dxa"/>
            <w:vAlign w:val="center"/>
          </w:tcPr>
          <w:p>
            <w:pPr>
              <w:spacing w:line="300" w:lineRule="exact"/>
              <w:jc w:val="left"/>
              <w:rPr>
                <w:rFonts w:hint="eastAsia" w:ascii="方正书宋_GBK" w:eastAsia="方正书宋_GBK"/>
              </w:rPr>
            </w:pPr>
            <w:r>
              <w:rPr>
                <w:rFonts w:hint="eastAsia" w:ascii="方正书宋_GBK" w:eastAsia="方正书宋_GBK"/>
              </w:rPr>
              <w:t>案件发挥警示作用</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691"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476" w:type="dxa"/>
            <w:vAlign w:val="center"/>
          </w:tcPr>
          <w:p>
            <w:pPr>
              <w:spacing w:line="300" w:lineRule="exact"/>
              <w:jc w:val="left"/>
              <w:rPr>
                <w:rFonts w:hint="eastAsia" w:ascii="方正书宋_GBK" w:eastAsia="方正书宋_GBK"/>
              </w:rPr>
            </w:pPr>
            <w:r>
              <w:rPr>
                <w:rFonts w:hint="eastAsia" w:ascii="方正书宋_GBK" w:eastAsia="方正书宋_GBK"/>
              </w:rPr>
              <w:t>群众满意程度高低</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bl>
    <w:p>
      <w:pPr>
        <w:ind w:firstLine="280" w:firstLineChars="100"/>
        <w:jc w:val="left"/>
        <w:outlineLvl w:val="3"/>
        <w:rPr>
          <w:rFonts w:hint="eastAsia" w:ascii="方正仿宋_GBK" w:eastAsia="方正仿宋_GBK"/>
          <w:b/>
          <w:sz w:val="28"/>
        </w:rPr>
      </w:pPr>
      <w:bookmarkStart w:id="5" w:name="_Toc60388179"/>
    </w:p>
    <w:p>
      <w:pPr>
        <w:ind w:firstLine="280" w:firstLineChars="100"/>
        <w:jc w:val="left"/>
        <w:outlineLvl w:val="3"/>
        <w:rPr>
          <w:rFonts w:hint="eastAsia" w:ascii="方正仿宋_GBK" w:eastAsia="方正仿宋_GBK"/>
          <w:b/>
          <w:sz w:val="28"/>
        </w:rPr>
      </w:pPr>
    </w:p>
    <w:p>
      <w:pPr>
        <w:ind w:firstLine="280" w:firstLineChars="100"/>
        <w:jc w:val="left"/>
        <w:outlineLvl w:val="3"/>
        <w:rPr>
          <w:rFonts w:hint="eastAsia" w:ascii="方正仿宋_GBK" w:eastAsia="方正仿宋_GBK"/>
          <w:b/>
          <w:sz w:val="28"/>
        </w:rPr>
      </w:pPr>
    </w:p>
    <w:p>
      <w:pPr>
        <w:ind w:firstLine="280" w:firstLineChars="100"/>
        <w:jc w:val="left"/>
        <w:outlineLvl w:val="3"/>
        <w:rPr>
          <w:rFonts w:hAnsi="宋体"/>
          <w:b/>
          <w:sz w:val="28"/>
        </w:rPr>
      </w:pPr>
      <w:r>
        <w:rPr>
          <w:rFonts w:hint="eastAsia" w:ascii="方正仿宋_GBK" w:eastAsia="方正仿宋_GBK"/>
          <w:b/>
          <w:sz w:val="28"/>
        </w:rPr>
        <w:t>2、</w:t>
      </w:r>
      <w:r>
        <w:rPr>
          <w:rFonts w:hint="eastAsia" w:ascii="方正仿宋_GBK" w:eastAsia="方正仿宋_GBK"/>
          <w:b/>
          <w:sz w:val="28"/>
          <w:lang w:eastAsia="zh-CN"/>
        </w:rPr>
        <w:t>乡镇纪委人员工作经费项目</w:t>
      </w:r>
      <w:r>
        <w:rPr>
          <w:rFonts w:hint="eastAsia" w:ascii="方正仿宋_GBK" w:eastAsia="方正仿宋_GBK"/>
          <w:b/>
          <w:sz w:val="28"/>
        </w:rPr>
        <w:t>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3、预算联网监督系统运行维护费绩效目标表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1</w:t>
            </w:r>
            <w:r>
              <w:rPr>
                <w:rFonts w:hint="eastAsia" w:ascii="方正书宋_GBK" w:eastAsia="方正书宋_GBK"/>
                <w:b/>
                <w:lang w:val="en-US" w:eastAsia="zh-CN"/>
              </w:rPr>
              <w:t>405001中国共产党邢台市南和区纪律检查委员会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1.支出及时。</w:t>
            </w:r>
          </w:p>
          <w:p>
            <w:pPr>
              <w:spacing w:line="300" w:lineRule="exact"/>
              <w:jc w:val="left"/>
              <w:rPr>
                <w:rFonts w:ascii="方正书宋_GBK" w:eastAsia="方正书宋_GBK"/>
              </w:rPr>
            </w:pPr>
            <w:r>
              <w:rPr>
                <w:rFonts w:hint="eastAsia" w:ascii="方正书宋_GBK" w:eastAsia="方正书宋_GBK"/>
              </w:rPr>
              <w:t>2.支出合理。</w:t>
            </w:r>
          </w:p>
        </w:tc>
      </w:tr>
    </w:tbl>
    <w:p>
      <w:pPr>
        <w:spacing w:line="14" w:lineRule="exact"/>
        <w:ind w:firstLine="420" w:firstLineChars="200"/>
        <w:jc w:val="center"/>
        <w:rPr>
          <w:rFonts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373"/>
        <w:gridCol w:w="103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7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37"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7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37" w:type="dxa"/>
            <w:vAlign w:val="center"/>
          </w:tcPr>
          <w:p>
            <w:pPr>
              <w:spacing w:line="300" w:lineRule="exact"/>
              <w:jc w:val="left"/>
              <w:rPr>
                <w:rFonts w:ascii="方正书宋_GBK" w:eastAsia="方正书宋_GBK"/>
              </w:rPr>
            </w:pPr>
            <w:r>
              <w:rPr>
                <w:rFonts w:hint="eastAsia" w:ascii="方正书宋_GBK" w:eastAsia="方正书宋_GBK"/>
              </w:rPr>
              <w:t>支出金额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支出金额准确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年初</w:t>
            </w:r>
            <w:r>
              <w:rPr>
                <w:rFonts w:hint="eastAsia" w:ascii="方正书宋_GBK" w:eastAsia="方正书宋_GBK"/>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37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037" w:type="dxa"/>
            <w:vAlign w:val="center"/>
          </w:tcPr>
          <w:p>
            <w:pPr>
              <w:spacing w:line="300" w:lineRule="exact"/>
              <w:jc w:val="left"/>
              <w:rPr>
                <w:rFonts w:ascii="方正书宋_GBK" w:eastAsia="方正书宋_GBK"/>
              </w:rPr>
            </w:pPr>
            <w:r>
              <w:rPr>
                <w:rFonts w:hint="eastAsia" w:ascii="方正书宋_GBK" w:eastAsia="方正书宋_GBK"/>
              </w:rPr>
              <w:t>工作进度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工作完成进度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w:t>
            </w:r>
            <w:r>
              <w:rPr>
                <w:rFonts w:hint="eastAsia" w:ascii="方正书宋_GBK" w:eastAsia="方正书宋_GBK"/>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37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037" w:type="dxa"/>
            <w:vAlign w:val="center"/>
          </w:tcPr>
          <w:p>
            <w:pPr>
              <w:spacing w:line="300" w:lineRule="exact"/>
              <w:jc w:val="left"/>
              <w:rPr>
                <w:rFonts w:ascii="方正书宋_GBK" w:eastAsia="方正书宋_GBK"/>
              </w:rPr>
            </w:pPr>
            <w:r>
              <w:rPr>
                <w:rFonts w:hint="eastAsia" w:ascii="方正书宋_GBK" w:eastAsia="方正书宋_GBK"/>
              </w:rPr>
              <w:t>及时查办案件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案件查办效率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w:t>
            </w:r>
            <w:r>
              <w:rPr>
                <w:rFonts w:hint="eastAsia" w:ascii="方正书宋_GBK" w:eastAsia="方正书宋_GBK"/>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37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037" w:type="dxa"/>
            <w:vAlign w:val="center"/>
          </w:tcPr>
          <w:p>
            <w:pPr>
              <w:spacing w:line="300" w:lineRule="exact"/>
              <w:jc w:val="left"/>
              <w:rPr>
                <w:rFonts w:ascii="方正书宋_GBK" w:eastAsia="方正书宋_GBK"/>
              </w:rPr>
            </w:pPr>
            <w:r>
              <w:rPr>
                <w:rFonts w:hint="eastAsia" w:ascii="方正书宋_GBK" w:eastAsia="方正书宋_GBK"/>
              </w:rPr>
              <w:t>成本高低</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成本是否控制到位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w:t>
            </w:r>
            <w:r>
              <w:rPr>
                <w:rFonts w:hint="eastAsia" w:ascii="方正书宋_GBK" w:eastAsia="方正书宋_GBK"/>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373"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037" w:type="dxa"/>
            <w:vAlign w:val="center"/>
          </w:tcPr>
          <w:p>
            <w:pPr>
              <w:spacing w:line="300" w:lineRule="exact"/>
              <w:jc w:val="left"/>
              <w:rPr>
                <w:rFonts w:ascii="方正书宋_GBK" w:eastAsia="方正书宋_GBK"/>
              </w:rPr>
            </w:pPr>
            <w:r>
              <w:rPr>
                <w:rFonts w:hint="eastAsia" w:ascii="方正书宋_GBK" w:eastAsia="方正书宋_GBK"/>
              </w:rPr>
              <w:t>社会风气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形成良好社会风气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w:t>
            </w:r>
            <w:r>
              <w:rPr>
                <w:rFonts w:hint="eastAsia" w:ascii="方正书宋_GBK" w:eastAsia="方正书宋_GBK"/>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373"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037" w:type="dxa"/>
            <w:vAlign w:val="center"/>
          </w:tcPr>
          <w:p>
            <w:pPr>
              <w:spacing w:line="300" w:lineRule="exact"/>
              <w:jc w:val="left"/>
              <w:rPr>
                <w:rFonts w:ascii="方正书宋_GBK" w:eastAsia="方正书宋_GBK"/>
              </w:rPr>
            </w:pPr>
            <w:r>
              <w:rPr>
                <w:rFonts w:hint="eastAsia" w:ascii="方正书宋_GBK" w:eastAsia="方正书宋_GBK"/>
              </w:rPr>
              <w:t>收缴违纪资金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国家资金合理利用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w:t>
            </w:r>
            <w:r>
              <w:rPr>
                <w:rFonts w:hint="eastAsia" w:ascii="方正书宋_GBK" w:eastAsia="方正书宋_GBK"/>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373"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37" w:type="dxa"/>
            <w:vAlign w:val="center"/>
          </w:tcPr>
          <w:p>
            <w:pPr>
              <w:spacing w:line="300" w:lineRule="exact"/>
              <w:jc w:val="left"/>
              <w:rPr>
                <w:rFonts w:hint="eastAsia" w:ascii="方正书宋_GBK" w:eastAsia="方正书宋_GBK"/>
              </w:rPr>
            </w:pPr>
            <w:r>
              <w:rPr>
                <w:rFonts w:hint="eastAsia" w:ascii="方正书宋_GBK" w:eastAsia="方正书宋_GBK"/>
              </w:rPr>
              <w:t>案件警示效果</w:t>
            </w:r>
          </w:p>
        </w:tc>
        <w:tc>
          <w:tcPr>
            <w:tcW w:w="2891" w:type="dxa"/>
            <w:vAlign w:val="center"/>
          </w:tcPr>
          <w:p>
            <w:pPr>
              <w:spacing w:line="300" w:lineRule="exact"/>
              <w:jc w:val="left"/>
              <w:rPr>
                <w:rFonts w:hint="eastAsia" w:ascii="方正书宋_GBK" w:eastAsia="方正书宋_GBK"/>
              </w:rPr>
            </w:pPr>
            <w:r>
              <w:rPr>
                <w:rFonts w:hint="eastAsia" w:ascii="方正书宋_GBK" w:eastAsia="方正书宋_GBK"/>
              </w:rPr>
              <w:t>案件发挥警示作用</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年初</w:t>
            </w:r>
            <w:r>
              <w:rPr>
                <w:rFonts w:hint="eastAsia" w:ascii="方正书宋_GBK" w:eastAsia="方正书宋_GBK"/>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73"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37"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hint="eastAsia" w:ascii="方正书宋_GBK" w:eastAsia="方正书宋_GBK"/>
              </w:rPr>
            </w:pPr>
            <w:r>
              <w:rPr>
                <w:rFonts w:hint="eastAsia" w:ascii="方正书宋_GBK" w:eastAsia="方正书宋_GBK"/>
              </w:rPr>
              <w:t>群众满意程度高低</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年初</w:t>
            </w:r>
            <w:r>
              <w:rPr>
                <w:rFonts w:hint="eastAsia" w:ascii="方正书宋_GBK" w:eastAsia="方正书宋_GBK"/>
                <w:lang w:eastAsia="zh-CN"/>
              </w:rPr>
              <w:t>安排</w:t>
            </w:r>
          </w:p>
        </w:tc>
      </w:tr>
    </w:tbl>
    <w:p>
      <w:pPr>
        <w:spacing w:line="300" w:lineRule="exact"/>
        <w:jc w:val="left"/>
        <w:sectPr>
          <w:pgSz w:w="16839" w:h="11907" w:orient="landscape"/>
          <w:pgMar w:top="1304" w:right="1985" w:bottom="1304" w:left="1134" w:header="851" w:footer="992" w:gutter="0"/>
          <w:cols w:space="720" w:num="1"/>
          <w:docGrid w:type="linesAndChar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hint="eastAsia" w:ascii="仿宋_GB2312" w:hAnsi="仿宋_GB2312" w:eastAsia="仿宋_GB2312" w:cs="仿宋_GB2312"/>
          <w:sz w:val="32"/>
          <w:szCs w:val="24"/>
          <w:lang w:eastAsia="zh-CN"/>
        </w:rPr>
      </w:pPr>
      <w:bookmarkStart w:id="6" w:name="_Toc471398468"/>
      <w:r>
        <w:rPr>
          <w:rFonts w:hint="eastAsia" w:ascii="仿宋_GB2312" w:hAnsi="仿宋_GB2312" w:eastAsia="仿宋_GB2312" w:cs="仿宋_GB2312"/>
          <w:sz w:val="32"/>
          <w:szCs w:val="24"/>
        </w:rPr>
        <w:t xml:space="preserve"> 2021年，我</w:t>
      </w:r>
      <w:r>
        <w:rPr>
          <w:rFonts w:hint="eastAsia" w:ascii="仿宋_GB2312" w:hAnsi="仿宋_GB2312" w:eastAsia="仿宋_GB2312" w:cs="仿宋_GB2312"/>
          <w:sz w:val="32"/>
          <w:szCs w:val="24"/>
          <w:lang w:eastAsia="zh-CN"/>
        </w:rPr>
        <w:t>部门</w:t>
      </w:r>
      <w:r>
        <w:rPr>
          <w:rFonts w:hint="eastAsia" w:ascii="仿宋_GB2312" w:hAnsi="仿宋_GB2312" w:eastAsia="仿宋_GB2312" w:cs="仿宋_GB2312"/>
          <w:sz w:val="32"/>
          <w:szCs w:val="24"/>
        </w:rPr>
        <w:t>安排政府采购预算</w:t>
      </w:r>
      <w:r>
        <w:rPr>
          <w:rFonts w:hint="eastAsia" w:ascii="仿宋_GB2312" w:hAnsi="仿宋_GB2312" w:eastAsia="仿宋_GB2312" w:cs="仿宋_GB2312"/>
          <w:sz w:val="32"/>
          <w:szCs w:val="24"/>
          <w:lang w:val="en-US" w:eastAsia="zh-CN"/>
        </w:rPr>
        <w:t>0</w:t>
      </w:r>
      <w:r>
        <w:rPr>
          <w:rFonts w:hint="eastAsia" w:ascii="仿宋_GB2312" w:hAnsi="仿宋_GB2312" w:eastAsia="仿宋_GB2312" w:cs="仿宋_GB2312"/>
          <w:sz w:val="32"/>
          <w:szCs w:val="24"/>
        </w:rPr>
        <w:t>元</w:t>
      </w:r>
      <w:bookmarkEnd w:id="6"/>
      <w:r>
        <w:rPr>
          <w:rFonts w:hint="eastAsia" w:ascii="仿宋_GB2312" w:hAnsi="仿宋_GB2312" w:eastAsia="仿宋_GB2312" w:cs="仿宋_GB2312"/>
          <w:sz w:val="32"/>
          <w:szCs w:val="24"/>
          <w:lang w:eastAsia="zh-CN"/>
        </w:rPr>
        <w:t>。</w:t>
      </w:r>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7" w:name="_Toc28848395"/>
      <w:r>
        <w:rPr>
          <w:rFonts w:hint="eastAsia" w:ascii="方正小标宋_GBK" w:eastAsia="方正小标宋_GBK"/>
          <w:sz w:val="32"/>
        </w:rPr>
        <w:instrText xml:space="preserve">部门政府采购预算</w:instrText>
      </w:r>
      <w:bookmarkEnd w:id="7"/>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10"/>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709"/>
        <w:gridCol w:w="851"/>
        <w:gridCol w:w="992"/>
        <w:gridCol w:w="992"/>
        <w:gridCol w:w="992"/>
        <w:gridCol w:w="993"/>
        <w:gridCol w:w="1134"/>
        <w:gridCol w:w="850"/>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sz w:val="24"/>
                <w:lang w:eastAsia="zh-CN"/>
              </w:rPr>
            </w:pPr>
            <w:r>
              <w:rPr>
                <w:rFonts w:hint="eastAsia" w:ascii="方正小标宋_GBK" w:eastAsia="方正小标宋_GBK"/>
                <w:sz w:val="24"/>
                <w:lang w:eastAsia="zh-CN"/>
              </w:rPr>
              <w:t>中国共产党邢台市南和区纪律检查委员会</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4240"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59"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85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85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59" w:type="dxa"/>
            <w:vMerge w:val="continue"/>
            <w:vAlign w:val="center"/>
          </w:tcPr>
          <w:p>
            <w:pPr>
              <w:spacing w:line="300" w:lineRule="exact"/>
              <w:jc w:val="left"/>
              <w:outlineLvl w:val="0"/>
              <w:rPr>
                <w:rFonts w:ascii="Times New Roman" w:eastAsia="方正仿宋_GBK"/>
                <w:sz w:val="28"/>
              </w:rPr>
            </w:pPr>
          </w:p>
        </w:tc>
        <w:tc>
          <w:tcPr>
            <w:tcW w:w="1417" w:type="dxa"/>
            <w:vMerge w:val="continue"/>
            <w:vAlign w:val="center"/>
          </w:tcPr>
          <w:p>
            <w:pPr>
              <w:spacing w:line="300" w:lineRule="exact"/>
              <w:jc w:val="left"/>
              <w:outlineLvl w:val="0"/>
              <w:rPr>
                <w:rFonts w:ascii="Times New Roman" w:eastAsia="方正仿宋_GBK"/>
                <w:sz w:val="28"/>
              </w:rPr>
            </w:pPr>
          </w:p>
        </w:tc>
        <w:tc>
          <w:tcPr>
            <w:tcW w:w="709" w:type="dxa"/>
            <w:vMerge w:val="continue"/>
            <w:vAlign w:val="center"/>
          </w:tcPr>
          <w:p>
            <w:pPr>
              <w:spacing w:line="300" w:lineRule="exact"/>
              <w:jc w:val="left"/>
              <w:outlineLvl w:val="0"/>
              <w:rPr>
                <w:rFonts w:ascii="Times New Roman" w:eastAsia="方正仿宋_GBK"/>
                <w:sz w:val="28"/>
              </w:rPr>
            </w:pPr>
          </w:p>
        </w:tc>
        <w:tc>
          <w:tcPr>
            <w:tcW w:w="851" w:type="dxa"/>
            <w:vMerge w:val="continue"/>
            <w:vAlign w:val="center"/>
          </w:tcPr>
          <w:p>
            <w:pPr>
              <w:spacing w:line="300" w:lineRule="exact"/>
              <w:jc w:val="left"/>
              <w:outlineLvl w:val="0"/>
              <w:rPr>
                <w:rFonts w:ascii="Times New Roman" w:eastAsia="方正仿宋_GBK"/>
                <w:sz w:val="28"/>
              </w:rPr>
            </w:pPr>
          </w:p>
        </w:tc>
        <w:tc>
          <w:tcPr>
            <w:tcW w:w="992" w:type="dxa"/>
            <w:vMerge w:val="continue"/>
            <w:vAlign w:val="center"/>
          </w:tcPr>
          <w:p>
            <w:pPr>
              <w:spacing w:line="300" w:lineRule="exact"/>
              <w:jc w:val="left"/>
              <w:outlineLvl w:val="0"/>
              <w:rPr>
                <w:rFonts w:ascii="Times New Roman" w:eastAsia="方正仿宋_GBK"/>
                <w:sz w:val="28"/>
              </w:rPr>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9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93"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wordWrap w:val="0"/>
              <w:adjustRightInd w:val="0"/>
              <w:snapToGrid w:val="0"/>
              <w:jc w:val="right"/>
              <w:rPr>
                <w:rFonts w:hint="eastAsia" w:ascii="方正书宋_GBK" w:hAnsi="宋体" w:eastAsia="方正书宋_GBK" w:cs="宋体"/>
                <w:b/>
                <w:bCs/>
                <w:color w:val="000000"/>
                <w:szCs w:val="21"/>
                <w:lang w:eastAsia="zh-CN"/>
              </w:rPr>
            </w:pPr>
            <w:r>
              <w:rPr>
                <w:rFonts w:hint="eastAsia" w:ascii="方正书宋_GBK" w:eastAsia="方正书宋_GBK"/>
                <w:b/>
                <w:bCs/>
                <w:color w:val="000000"/>
                <w:szCs w:val="21"/>
                <w:lang w:val="en-US" w:eastAsia="zh-CN"/>
              </w:rPr>
              <w:t xml:space="preserve"> </w:t>
            </w:r>
          </w:p>
        </w:tc>
        <w:tc>
          <w:tcPr>
            <w:tcW w:w="992" w:type="dxa"/>
            <w:vAlign w:val="center"/>
          </w:tcPr>
          <w:p>
            <w:pPr>
              <w:wordWrap w:val="0"/>
              <w:adjustRightInd w:val="0"/>
              <w:snapToGrid w:val="0"/>
              <w:jc w:val="right"/>
              <w:rPr>
                <w:rFonts w:hint="eastAsia" w:ascii="方正书宋_GBK" w:hAnsi="宋体" w:eastAsia="方正书宋_GBK" w:cs="宋体"/>
                <w:b/>
                <w:bCs/>
                <w:color w:val="000000"/>
                <w:szCs w:val="21"/>
                <w:lang w:eastAsia="zh-CN"/>
              </w:rPr>
            </w:pPr>
            <w:r>
              <w:rPr>
                <w:rFonts w:hint="eastAsia" w:ascii="方正书宋_GBK" w:eastAsia="方正书宋_GBK"/>
                <w:b/>
                <w:bCs/>
                <w:color w:val="000000"/>
                <w:szCs w:val="21"/>
                <w:lang w:val="en-US" w:eastAsia="zh-CN"/>
              </w:rPr>
              <w:t xml:space="preserve"> </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hint="eastAsia" w:ascii="方正书宋_GBK" w:eastAsia="方正书宋_GBK"/>
                <w:b/>
                <w:lang w:eastAsia="zh-CN"/>
              </w:rPr>
            </w:pPr>
            <w:r>
              <w:rPr>
                <w:rFonts w:hint="eastAsia" w:ascii="方正书宋_GBK" w:eastAsia="方正书宋_GBK"/>
                <w:b/>
                <w:lang w:val="en-US" w:eastAsia="zh-CN"/>
              </w:rPr>
              <w:t xml:space="preserve"> </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wordWrap w:val="0"/>
              <w:adjustRightInd w:val="0"/>
              <w:snapToGrid w:val="0"/>
              <w:jc w:val="right"/>
              <w:rPr>
                <w:rFonts w:hint="eastAsia" w:ascii="方正书宋_GBK" w:hAnsi="宋体" w:eastAsia="方正书宋_GBK" w:cs="宋体"/>
                <w:b/>
                <w:bCs/>
                <w:color w:val="000000"/>
                <w:szCs w:val="21"/>
                <w:lang w:eastAsia="zh-CN"/>
              </w:rPr>
            </w:pPr>
            <w:r>
              <w:rPr>
                <w:rFonts w:hint="eastAsia" w:ascii="方正书宋_GBK" w:eastAsia="方正书宋_GBK"/>
                <w:b/>
                <w:bCs/>
                <w:color w:val="000000"/>
                <w:szCs w:val="21"/>
                <w:lang w:val="en-US" w:eastAsia="zh-CN"/>
              </w:rPr>
              <w:t xml:space="preserve"> </w:t>
            </w:r>
          </w:p>
        </w:tc>
        <w:tc>
          <w:tcPr>
            <w:tcW w:w="992" w:type="dxa"/>
            <w:vAlign w:val="center"/>
          </w:tcPr>
          <w:p>
            <w:pPr>
              <w:wordWrap w:val="0"/>
              <w:adjustRightInd w:val="0"/>
              <w:snapToGrid w:val="0"/>
              <w:jc w:val="right"/>
              <w:rPr>
                <w:rFonts w:hint="eastAsia" w:ascii="方正书宋_GBK" w:hAnsi="宋体" w:eastAsia="方正书宋_GBK" w:cs="宋体"/>
                <w:b/>
                <w:bCs/>
                <w:color w:val="000000"/>
                <w:szCs w:val="21"/>
                <w:lang w:eastAsia="zh-CN"/>
              </w:rPr>
            </w:pPr>
            <w:r>
              <w:rPr>
                <w:rFonts w:hint="eastAsia" w:ascii="方正书宋_GBK" w:eastAsia="方正书宋_GBK"/>
                <w:b/>
                <w:bCs/>
                <w:color w:val="000000"/>
                <w:szCs w:val="21"/>
                <w:lang w:val="en-US" w:eastAsia="zh-CN"/>
              </w:rPr>
              <w:t xml:space="preserve"> </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bl>
    <w:p>
      <w:pPr>
        <w:spacing w:line="560" w:lineRule="exact"/>
        <w:ind w:firstLine="716" w:firstLineChars="224"/>
        <w:rPr>
          <w:rFonts w:hint="eastAsia" w:ascii="仿宋" w:hAnsi="仿宋" w:eastAsia="仿宋"/>
          <w:sz w:val="32"/>
          <w:szCs w:val="32"/>
          <w:lang w:eastAsia="zh-CN"/>
        </w:rPr>
      </w:pPr>
      <w:r>
        <w:rPr>
          <w:rFonts w:hint="eastAsia" w:ascii="仿宋" w:hAnsi="仿宋" w:eastAsia="仿宋"/>
          <w:sz w:val="32"/>
          <w:szCs w:val="32"/>
          <w:lang w:eastAsia="zh-CN"/>
        </w:rPr>
        <w:t>注：本年无部门政府采购预算，空表列示。</w:t>
      </w:r>
    </w:p>
    <w:p>
      <w:pPr>
        <w:ind w:firstLine="640" w:firstLineChars="200"/>
        <w:outlineLvl w:val="0"/>
        <w:rPr>
          <w:rFonts w:hint="eastAsia" w:ascii="Times New Roman" w:hAnsi="Times New Roman" w:eastAsia="方正仿宋_GBK" w:cs="Times New Roman"/>
          <w:sz w:val="32"/>
          <w:szCs w:val="24"/>
          <w:lang w:eastAsia="zh-CN"/>
        </w:rPr>
        <w:sectPr>
          <w:footerReference r:id="rId4" w:type="default"/>
          <w:pgSz w:w="16839" w:h="11907" w:orient="landscape"/>
          <w:pgMar w:top="1304" w:right="1985" w:bottom="1304" w:left="1134" w:header="851" w:footer="992" w:gutter="0"/>
          <w:cols w:space="720" w:num="1"/>
          <w:docGrid w:type="linesAndChar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中国共产党邢台市南和区纪律检查委员会2020年末固定资产金额为</w:t>
      </w:r>
      <w:r>
        <w:rPr>
          <w:rFonts w:hint="eastAsia" w:ascii="仿宋_GB2312" w:hAnsi="仿宋_GB2312" w:eastAsia="仿宋_GB2312" w:cs="仿宋_GB2312"/>
          <w:color w:val="000000"/>
          <w:sz w:val="32"/>
          <w:szCs w:val="32"/>
          <w:lang w:val="en-US" w:eastAsia="zh-CN"/>
        </w:rPr>
        <w:t>3299040</w:t>
      </w:r>
      <w:r>
        <w:rPr>
          <w:rFonts w:hint="eastAsia" w:ascii="仿宋_GB2312" w:hAnsi="仿宋_GB2312" w:eastAsia="仿宋_GB2312" w:cs="仿宋_GB2312"/>
          <w:color w:val="000000"/>
          <w:sz w:val="32"/>
          <w:szCs w:val="32"/>
        </w:rPr>
        <w:t>元（详见下表），本年度各单位（处室）拟购置固定资产总额为</w:t>
      </w:r>
      <w:r>
        <w:rPr>
          <w:rFonts w:hint="eastAsia" w:ascii="仿宋_GB2312" w:hAnsi="仿宋_GB2312" w:eastAsia="仿宋_GB2312" w:cs="仿宋_GB2312"/>
          <w:color w:val="000000"/>
          <w:sz w:val="32"/>
          <w:szCs w:val="32"/>
          <w:lang w:val="en-US" w:eastAsia="zh-CN"/>
        </w:rPr>
        <w:t>250000</w:t>
      </w:r>
      <w:r>
        <w:rPr>
          <w:rFonts w:hint="eastAsia" w:ascii="仿宋_GB2312" w:hAnsi="仿宋_GB2312" w:eastAsia="仿宋_GB2312" w:cs="仿宋_GB2312"/>
          <w:color w:val="000000"/>
          <w:sz w:val="32"/>
          <w:szCs w:val="32"/>
        </w:rPr>
        <w:t>元，主要为</w:t>
      </w:r>
      <w:r>
        <w:rPr>
          <w:rFonts w:hint="eastAsia" w:ascii="仿宋_GB2312" w:hAnsi="仿宋_GB2312" w:eastAsia="仿宋_GB2312" w:cs="仿宋_GB2312"/>
          <w:color w:val="000000"/>
          <w:sz w:val="32"/>
          <w:szCs w:val="32"/>
          <w:lang w:eastAsia="zh-CN"/>
        </w:rPr>
        <w:t>公务用车。</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中国共产党邢台市南和区纪律检查委员会固定资产占用情况表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中国共产党邢台市南和区纪律检查委员会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FF0000"/>
                <w:kern w:val="0"/>
                <w:sz w:val="22"/>
                <w:lang w:val="en-US"/>
              </w:rPr>
            </w:pPr>
            <w:r>
              <w:rPr>
                <w:rFonts w:hint="eastAsia" w:ascii="Times New Roman" w:hAnsi="Times New Roman" w:eastAsia="方正仿宋_GBK" w:cs="Times New Roman"/>
                <w:kern w:val="0"/>
                <w:sz w:val="22"/>
                <w:lang w:val="en-US" w:eastAsia="zh-CN"/>
              </w:rPr>
              <w:t>3299040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方正仿宋_GBK" w:cs="Times New Roman"/>
                <w:kern w:val="0"/>
                <w:sz w:val="22"/>
                <w:lang w:val="en-US" w:eastAsia="zh-CN"/>
              </w:rPr>
              <w:t>8</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1168500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val="en-US" w:eastAsia="zh-CN"/>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2130540</w:t>
            </w:r>
            <w:bookmarkStart w:id="8" w:name="_GoBack"/>
            <w:bookmarkEnd w:id="8"/>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1、一般公共预算拨款收入：指省级财政当年拨付的资金。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2、事业收入：指事业单位开展专业业务活动及辅助活动所取得的收入。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3、其他收入：指除“一般公共预算拨款收入”、“事业收入”等以外的收入。主要是按规定动用的租房收入、存款利息收入等。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4、基本支出：指为保障机构正常运转、完成日常工作任务而发生的人员支出和公用支出。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5、项目支出：指在基本支出之外为完成特定行政任务和事业发展目标所发生的支出。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6、上缴上级支出：指下级单位上缴上级的支出。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9、上年结转：指以前年度尚未完成、结转到本年仍按原规定用途继续使用的资金。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我部门无其他需要说明的事项。</w:t>
      </w:r>
      <w:bookmarkEnd w:id="0"/>
    </w:p>
    <w:sectPr>
      <w:footerReference r:id="rId5"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14</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15</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20</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08E7"/>
    <w:multiLevelType w:val="singleLevel"/>
    <w:tmpl w:val="627908E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EE9"/>
    <w:rsid w:val="000C7140"/>
    <w:rsid w:val="00187190"/>
    <w:rsid w:val="002A543E"/>
    <w:rsid w:val="002B0772"/>
    <w:rsid w:val="002C0A7B"/>
    <w:rsid w:val="002C1DDE"/>
    <w:rsid w:val="00323B29"/>
    <w:rsid w:val="00357D13"/>
    <w:rsid w:val="00382907"/>
    <w:rsid w:val="0039059E"/>
    <w:rsid w:val="003D158A"/>
    <w:rsid w:val="003F41B2"/>
    <w:rsid w:val="00510F89"/>
    <w:rsid w:val="007F0341"/>
    <w:rsid w:val="008B4BB0"/>
    <w:rsid w:val="008D42BA"/>
    <w:rsid w:val="00921B8C"/>
    <w:rsid w:val="00944B62"/>
    <w:rsid w:val="009479F2"/>
    <w:rsid w:val="009A51E4"/>
    <w:rsid w:val="009A521C"/>
    <w:rsid w:val="009C2785"/>
    <w:rsid w:val="009F7D83"/>
    <w:rsid w:val="00A231C3"/>
    <w:rsid w:val="00A52CB5"/>
    <w:rsid w:val="00AC2BAA"/>
    <w:rsid w:val="00B76ED5"/>
    <w:rsid w:val="00BE3AFB"/>
    <w:rsid w:val="00BF5EE2"/>
    <w:rsid w:val="00D607DA"/>
    <w:rsid w:val="00D64ED7"/>
    <w:rsid w:val="00DC6EE5"/>
    <w:rsid w:val="00DE53ED"/>
    <w:rsid w:val="00EC64C7"/>
    <w:rsid w:val="00EE71BA"/>
    <w:rsid w:val="00F867E4"/>
    <w:rsid w:val="00FC6D2F"/>
    <w:rsid w:val="00FE678A"/>
    <w:rsid w:val="010462FA"/>
    <w:rsid w:val="0190434A"/>
    <w:rsid w:val="0283455F"/>
    <w:rsid w:val="02B338FD"/>
    <w:rsid w:val="02BF6DC8"/>
    <w:rsid w:val="035D7D96"/>
    <w:rsid w:val="05534FE2"/>
    <w:rsid w:val="06D84175"/>
    <w:rsid w:val="07CE35C9"/>
    <w:rsid w:val="08C01405"/>
    <w:rsid w:val="0AE758EB"/>
    <w:rsid w:val="0B446D4D"/>
    <w:rsid w:val="0C191182"/>
    <w:rsid w:val="0CE23CAB"/>
    <w:rsid w:val="0D6D1B75"/>
    <w:rsid w:val="0DB05B3B"/>
    <w:rsid w:val="0EAB6BB3"/>
    <w:rsid w:val="107C37E8"/>
    <w:rsid w:val="10E73692"/>
    <w:rsid w:val="119013A1"/>
    <w:rsid w:val="12094347"/>
    <w:rsid w:val="1289347C"/>
    <w:rsid w:val="138E4E41"/>
    <w:rsid w:val="140E30F6"/>
    <w:rsid w:val="14F8727F"/>
    <w:rsid w:val="169B320D"/>
    <w:rsid w:val="192808AF"/>
    <w:rsid w:val="19347CA9"/>
    <w:rsid w:val="1935661D"/>
    <w:rsid w:val="1A233754"/>
    <w:rsid w:val="1AF01B46"/>
    <w:rsid w:val="1E89160A"/>
    <w:rsid w:val="1E9C6462"/>
    <w:rsid w:val="1FD41C4A"/>
    <w:rsid w:val="1FFA0652"/>
    <w:rsid w:val="208D7211"/>
    <w:rsid w:val="21673D7D"/>
    <w:rsid w:val="21F76CC2"/>
    <w:rsid w:val="235A3577"/>
    <w:rsid w:val="23F548D3"/>
    <w:rsid w:val="254323EF"/>
    <w:rsid w:val="25895154"/>
    <w:rsid w:val="259B7871"/>
    <w:rsid w:val="265C41A3"/>
    <w:rsid w:val="27B470E6"/>
    <w:rsid w:val="28892DA1"/>
    <w:rsid w:val="28D77CDF"/>
    <w:rsid w:val="28DC518C"/>
    <w:rsid w:val="29873E52"/>
    <w:rsid w:val="2A693ABC"/>
    <w:rsid w:val="2AE348F3"/>
    <w:rsid w:val="2D4C7125"/>
    <w:rsid w:val="2E2A754D"/>
    <w:rsid w:val="2E3648DC"/>
    <w:rsid w:val="2F8B690A"/>
    <w:rsid w:val="2F91260F"/>
    <w:rsid w:val="31A63988"/>
    <w:rsid w:val="31A95643"/>
    <w:rsid w:val="31B93FB9"/>
    <w:rsid w:val="31C90ECF"/>
    <w:rsid w:val="326E20E9"/>
    <w:rsid w:val="32D52CAE"/>
    <w:rsid w:val="334E741A"/>
    <w:rsid w:val="36D221C0"/>
    <w:rsid w:val="379042B7"/>
    <w:rsid w:val="37D94605"/>
    <w:rsid w:val="38316A35"/>
    <w:rsid w:val="384A2813"/>
    <w:rsid w:val="3874418C"/>
    <w:rsid w:val="39156675"/>
    <w:rsid w:val="3BD2628E"/>
    <w:rsid w:val="3CFC2F36"/>
    <w:rsid w:val="3F510D84"/>
    <w:rsid w:val="3FEC0D40"/>
    <w:rsid w:val="405467A7"/>
    <w:rsid w:val="409A0CD3"/>
    <w:rsid w:val="40A72156"/>
    <w:rsid w:val="423425D0"/>
    <w:rsid w:val="43507271"/>
    <w:rsid w:val="4436274C"/>
    <w:rsid w:val="45766D70"/>
    <w:rsid w:val="466B0D77"/>
    <w:rsid w:val="469C3A18"/>
    <w:rsid w:val="46C7387D"/>
    <w:rsid w:val="46ED07B7"/>
    <w:rsid w:val="472820F7"/>
    <w:rsid w:val="474D53F4"/>
    <w:rsid w:val="477C053E"/>
    <w:rsid w:val="47817989"/>
    <w:rsid w:val="47EE2EDF"/>
    <w:rsid w:val="47FD29D6"/>
    <w:rsid w:val="47FF1637"/>
    <w:rsid w:val="48345199"/>
    <w:rsid w:val="48510635"/>
    <w:rsid w:val="48D75E31"/>
    <w:rsid w:val="492A54B6"/>
    <w:rsid w:val="496761B8"/>
    <w:rsid w:val="49B22A2B"/>
    <w:rsid w:val="4A59433B"/>
    <w:rsid w:val="4B390D71"/>
    <w:rsid w:val="4B8901D0"/>
    <w:rsid w:val="4B9D62F2"/>
    <w:rsid w:val="4FF93259"/>
    <w:rsid w:val="5036698E"/>
    <w:rsid w:val="532A1D60"/>
    <w:rsid w:val="53DB3264"/>
    <w:rsid w:val="53F70E3E"/>
    <w:rsid w:val="565D32B2"/>
    <w:rsid w:val="56D24982"/>
    <w:rsid w:val="57254706"/>
    <w:rsid w:val="573378D9"/>
    <w:rsid w:val="57C13B69"/>
    <w:rsid w:val="57EE6CF9"/>
    <w:rsid w:val="59FC26A6"/>
    <w:rsid w:val="5A6E5C21"/>
    <w:rsid w:val="5C1C69BA"/>
    <w:rsid w:val="5C2F6D51"/>
    <w:rsid w:val="5E6201C4"/>
    <w:rsid w:val="5E70042C"/>
    <w:rsid w:val="5EE52356"/>
    <w:rsid w:val="618A1F40"/>
    <w:rsid w:val="648C3E91"/>
    <w:rsid w:val="65C2773E"/>
    <w:rsid w:val="670C0D1E"/>
    <w:rsid w:val="68A72670"/>
    <w:rsid w:val="691075AD"/>
    <w:rsid w:val="694C2AC1"/>
    <w:rsid w:val="69657C67"/>
    <w:rsid w:val="69916C33"/>
    <w:rsid w:val="69A26A01"/>
    <w:rsid w:val="6AF433FA"/>
    <w:rsid w:val="6BE56C27"/>
    <w:rsid w:val="6DB50301"/>
    <w:rsid w:val="6E6D592A"/>
    <w:rsid w:val="6F8A260D"/>
    <w:rsid w:val="72DA3ADD"/>
    <w:rsid w:val="7300227F"/>
    <w:rsid w:val="73BD7296"/>
    <w:rsid w:val="73DE5216"/>
    <w:rsid w:val="764F6076"/>
    <w:rsid w:val="76DA2709"/>
    <w:rsid w:val="77667455"/>
    <w:rsid w:val="7C7C49BE"/>
    <w:rsid w:val="7C9B5928"/>
    <w:rsid w:val="7CED45B7"/>
    <w:rsid w:val="7E1D5B0E"/>
    <w:rsid w:val="7EA259CE"/>
    <w:rsid w:val="7F285CD0"/>
    <w:rsid w:val="7F2C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8">
    <w:name w:val="page number"/>
    <w:unhideWhenUsed/>
    <w:qFormat/>
    <w:uiPriority w:val="99"/>
  </w:style>
  <w:style w:type="character" w:styleId="9">
    <w:name w:val="footnote reference"/>
    <w:qFormat/>
    <w:uiPriority w:val="0"/>
    <w:rPr>
      <w:vertAlign w:val="superscript"/>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 w:type="paragraph" w:customStyle="1" w:styleId="16">
    <w:name w:val="[Normal]"/>
    <w:unhideWhenUsed/>
    <w:qFormat/>
    <w:uiPriority w:val="99"/>
    <w:pPr>
      <w:widowControl w:val="0"/>
      <w:autoSpaceDE w:val="0"/>
      <w:autoSpaceDN w:val="0"/>
      <w:adjustRightInd w:val="0"/>
      <w:spacing w:beforeLines="0" w:afterLines="0"/>
    </w:pPr>
    <w:rPr>
      <w:rFonts w:hint="eastAsia" w:ascii="宋体" w:hAnsi="宋体"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1449</Words>
  <Characters>8263</Characters>
  <Lines>68</Lines>
  <Paragraphs>19</Paragraphs>
  <TotalTime>7</TotalTime>
  <ScaleCrop>false</ScaleCrop>
  <LinksUpToDate>false</LinksUpToDate>
  <CharactersWithSpaces>9693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Administrator</cp:lastModifiedBy>
  <cp:lastPrinted>2020-01-10T15:53:00Z</cp:lastPrinted>
  <dcterms:modified xsi:type="dcterms:W3CDTF">2021-05-19T09:03:58Z</dcterms:modified>
  <dc:title>o</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