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ascii="宋体" w:hAnsi="宋体" w:cs="宋体"/>
          <w:b/>
          <w:sz w:val="44"/>
          <w:szCs w:val="44"/>
          <w:lang w:eastAsia="zh-CN"/>
        </w:rPr>
      </w:pPr>
      <w:r>
        <w:rPr>
          <w:rFonts w:hint="eastAsia" w:ascii="宋体" w:hAnsi="宋体" w:cs="宋体"/>
          <w:b/>
          <w:sz w:val="44"/>
          <w:szCs w:val="44"/>
          <w:lang w:eastAsia="zh-CN"/>
        </w:rPr>
        <w:t>中共河北省南和县纪律检查委员会</w:t>
      </w:r>
    </w:p>
    <w:p>
      <w:pPr>
        <w:ind w:firstLine="883" w:firstLineChars="200"/>
        <w:jc w:val="center"/>
        <w:rPr>
          <w:rFonts w:ascii="宋体" w:cs="宋体"/>
          <w:b/>
          <w:sz w:val="44"/>
          <w:szCs w:val="44"/>
        </w:rPr>
      </w:pPr>
      <w:r>
        <w:rPr>
          <w:rFonts w:hint="eastAsia" w:ascii="宋体" w:hAnsi="宋体" w:cs="宋体"/>
          <w:b/>
          <w:sz w:val="44"/>
          <w:szCs w:val="44"/>
          <w:lang w:val="en-US" w:eastAsia="zh-CN"/>
        </w:rPr>
        <w:t>2020</w:t>
      </w:r>
      <w:r>
        <w:rPr>
          <w:rFonts w:hint="eastAsia" w:ascii="宋体" w:hAnsi="宋体" w:cs="宋体"/>
          <w:b/>
          <w:sz w:val="44"/>
          <w:szCs w:val="44"/>
        </w:rPr>
        <w:t>年部门预算信息公开</w:t>
      </w:r>
    </w:p>
    <w:p>
      <w:pPr>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按照《预算法》、《地方预决算公开操作规程》和《河北省省级预算公开办法》规定，现将</w:t>
      </w:r>
      <w:r>
        <w:rPr>
          <w:rFonts w:hint="eastAsia" w:ascii="仿宋" w:hAnsi="仿宋" w:eastAsia="仿宋" w:cs="仿宋"/>
          <w:sz w:val="32"/>
          <w:szCs w:val="32"/>
          <w:lang w:eastAsia="zh-CN"/>
        </w:rPr>
        <w:t>中共河北省南和县纪律检查委员会</w:t>
      </w:r>
      <w:r>
        <w:rPr>
          <w:rFonts w:hint="eastAsia" w:ascii="仿宋" w:hAnsi="仿宋" w:eastAsia="仿宋" w:cs="仿宋"/>
          <w:sz w:val="32"/>
          <w:szCs w:val="32"/>
          <w:lang w:val="en-US" w:eastAsia="zh-CN"/>
        </w:rPr>
        <w:t>2020</w:t>
      </w:r>
      <w:r>
        <w:rPr>
          <w:rFonts w:hint="eastAsia" w:ascii="仿宋" w:hAnsi="仿宋" w:eastAsia="仿宋" w:cs="仿宋"/>
          <w:sz w:val="32"/>
          <w:szCs w:val="32"/>
        </w:rPr>
        <w:t>年部门预算公开如下：</w:t>
      </w:r>
    </w:p>
    <w:p>
      <w:pPr>
        <w:rPr>
          <w:rFonts w:ascii="黑体" w:hAnsi="黑体" w:eastAsia="黑体" w:cs="楷体"/>
          <w:bCs/>
          <w:sz w:val="32"/>
          <w:szCs w:val="32"/>
        </w:rPr>
      </w:pPr>
      <w:r>
        <w:rPr>
          <w:rFonts w:ascii="楷体" w:hAnsi="楷体" w:eastAsia="楷体" w:cs="楷体"/>
          <w:b/>
          <w:bCs/>
          <w:sz w:val="32"/>
          <w:szCs w:val="32"/>
        </w:rPr>
        <w:t xml:space="preserve">    </w:t>
      </w:r>
      <w:r>
        <w:rPr>
          <w:rFonts w:hint="eastAsia" w:ascii="黑体" w:hAnsi="黑体" w:eastAsia="黑体" w:cs="楷体"/>
          <w:bCs/>
          <w:sz w:val="32"/>
          <w:szCs w:val="32"/>
        </w:rPr>
        <w:t>一、部门职责及机构设置情况</w:t>
      </w:r>
    </w:p>
    <w:p>
      <w:pPr>
        <w:ind w:firstLine="643" w:firstLineChars="200"/>
        <w:rPr>
          <w:rFonts w:hint="eastAsia" w:ascii="仿宋" w:hAnsi="仿宋" w:eastAsia="仿宋" w:cs="仿宋"/>
          <w:sz w:val="32"/>
          <w:szCs w:val="32"/>
        </w:rPr>
      </w:pPr>
      <w:r>
        <w:rPr>
          <w:rFonts w:hint="eastAsia" w:ascii="楷体" w:hAnsi="楷体" w:eastAsia="楷体" w:cs="楷体"/>
          <w:b/>
          <w:sz w:val="32"/>
          <w:szCs w:val="32"/>
        </w:rPr>
        <w:t>部门职责：</w:t>
      </w:r>
    </w:p>
    <w:p>
      <w:pPr>
        <w:rPr>
          <w:rFonts w:hint="eastAsia" w:ascii="仿宋" w:hAnsi="仿宋" w:eastAsia="仿宋" w:cs="仿宋"/>
          <w:sz w:val="32"/>
          <w:szCs w:val="32"/>
        </w:rPr>
      </w:pPr>
      <w:r>
        <w:rPr>
          <w:rFonts w:hint="eastAsia" w:ascii="仿宋" w:hAnsi="仿宋" w:eastAsia="仿宋" w:cs="仿宋"/>
          <w:sz w:val="32"/>
          <w:szCs w:val="32"/>
        </w:rPr>
        <w:t>　　（1）主管全县党的纪律检查工作。负责贯彻落实中央和省、市、县委关于加强党风廉政建设的决定，认真抓好反腐败斗争，维护党的章程和其他党内法规，检查党的路线、方针、政策和决议的执行情况。</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2</w:t>
      </w:r>
      <w:r>
        <w:rPr>
          <w:rFonts w:hint="eastAsia" w:ascii="仿宋" w:hAnsi="仿宋" w:eastAsia="仿宋" w:cs="仿宋"/>
          <w:sz w:val="32"/>
          <w:szCs w:val="32"/>
        </w:rPr>
        <w:t>）负责检查并处理县委、县政府机关各部门、各乡镇党组织和县委管理的党员领导干部违反党的章程及其他党内法规的案件，决定或取消对这些案件中的党员的处分；受理党员的控告和申诉，必要时直接查处下级党的纪律检查机关管辖范围内的比较重要或复杂的案件。</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3</w:t>
      </w:r>
      <w:r>
        <w:rPr>
          <w:rFonts w:hint="eastAsia" w:ascii="仿宋" w:hAnsi="仿宋" w:eastAsia="仿宋" w:cs="仿宋"/>
          <w:sz w:val="32"/>
          <w:szCs w:val="32"/>
        </w:rPr>
        <w:t>）负责调查处理县政府各部门及其工作人员和各乡镇人民政府及其负责人违反国家政策、法律、法规以及违反政纪的行为，并根据责任人所犯错误的情节轻重，按照《中华人民共和国行政监察法》规定给予行政处分（对涉及选举产生的领导干部按法定程序办理）；受理监察对象不服政纪处分的申诉，受理个人或单位对监察对象违纪行为的检举、控告。</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4</w:t>
      </w:r>
      <w:r>
        <w:rPr>
          <w:rFonts w:hint="eastAsia" w:ascii="仿宋" w:hAnsi="仿宋" w:eastAsia="仿宋" w:cs="仿宋"/>
          <w:sz w:val="32"/>
          <w:szCs w:val="32"/>
        </w:rPr>
        <w:t>）负责作出关于维护党纪的决定，制定全县党风党纪教育规划，配合有关部门做好党的纪检工作方针政策的宣传工作和对党员遵守纪律的教育工作。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5</w:t>
      </w:r>
      <w:r>
        <w:rPr>
          <w:rFonts w:hint="eastAsia" w:ascii="仿宋" w:hAnsi="仿宋" w:eastAsia="仿宋" w:cs="仿宋"/>
          <w:sz w:val="32"/>
          <w:szCs w:val="32"/>
        </w:rPr>
        <w:t>）会同有关部门做好行政监察工作的方针、政策和法律法规的宣传工作，教育国家机关工作人员遵纪守法、为政清廉。</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6</w:t>
      </w:r>
      <w:r>
        <w:rPr>
          <w:rFonts w:hint="eastAsia" w:ascii="仿宋" w:hAnsi="仿宋" w:eastAsia="仿宋" w:cs="仿宋"/>
          <w:sz w:val="32"/>
          <w:szCs w:val="32"/>
        </w:rPr>
        <w:t>）负责对党的纪检工作理论及有关问题进行调查研究，拟定党纪条规和政策规定，参与制定党内法规。</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7</w:t>
      </w:r>
      <w:r>
        <w:rPr>
          <w:rFonts w:hint="eastAsia" w:ascii="仿宋" w:hAnsi="仿宋" w:eastAsia="仿宋" w:cs="仿宋"/>
          <w:sz w:val="32"/>
          <w:szCs w:val="32"/>
        </w:rPr>
        <w:t>）调查研究县政府各部门和各乡镇人民政府制定有关政策、法规的情况，对违反国家法律、法规的条款，提出修改、补充的建议。</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8</w:t>
      </w:r>
      <w:r>
        <w:rPr>
          <w:rFonts w:hint="eastAsia" w:ascii="仿宋" w:hAnsi="仿宋" w:eastAsia="仿宋" w:cs="仿宋"/>
          <w:sz w:val="32"/>
          <w:szCs w:val="32"/>
        </w:rPr>
        <w:t>）会同县直机关各部门以及各乡镇党委、政府，做好纪检监察干部的管理工作。组织和指导全县纪检、监察系统干部的培训工作。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9</w:t>
      </w:r>
      <w:r>
        <w:rPr>
          <w:rFonts w:hint="eastAsia" w:ascii="仿宋" w:hAnsi="仿宋" w:eastAsia="仿宋" w:cs="仿宋"/>
          <w:sz w:val="32"/>
          <w:szCs w:val="32"/>
        </w:rPr>
        <w:t>）完成县委</w:t>
      </w:r>
      <w:r>
        <w:rPr>
          <w:rFonts w:hint="eastAsia" w:ascii="仿宋" w:hAnsi="仿宋" w:eastAsia="仿宋" w:cs="仿宋"/>
          <w:sz w:val="32"/>
          <w:szCs w:val="32"/>
          <w:lang w:eastAsia="zh-CN"/>
        </w:rPr>
        <w:t>、</w:t>
      </w:r>
      <w:r>
        <w:rPr>
          <w:rFonts w:hint="eastAsia" w:ascii="仿宋" w:hAnsi="仿宋" w:eastAsia="仿宋" w:cs="仿宋"/>
          <w:sz w:val="32"/>
          <w:szCs w:val="32"/>
        </w:rPr>
        <w:t>市纪委</w:t>
      </w:r>
      <w:r>
        <w:rPr>
          <w:rFonts w:hint="eastAsia" w:ascii="仿宋" w:hAnsi="仿宋" w:eastAsia="仿宋" w:cs="仿宋"/>
          <w:sz w:val="32"/>
          <w:szCs w:val="32"/>
          <w:lang w:eastAsia="zh-CN"/>
        </w:rPr>
        <w:t>和市监委</w:t>
      </w:r>
      <w:r>
        <w:rPr>
          <w:rFonts w:hint="eastAsia" w:ascii="仿宋" w:hAnsi="仿宋" w:eastAsia="仿宋" w:cs="仿宋"/>
          <w:sz w:val="32"/>
          <w:szCs w:val="32"/>
        </w:rPr>
        <w:t>授权和交办的其他任务。</w:t>
      </w:r>
    </w:p>
    <w:p>
      <w:pPr>
        <w:autoSpaceDE w:val="0"/>
        <w:autoSpaceDN w:val="0"/>
        <w:adjustRightInd w:val="0"/>
        <w:ind w:firstLine="643" w:firstLineChars="200"/>
        <w:jc w:val="left"/>
        <w:rPr>
          <w:rFonts w:ascii="楷体" w:hAnsi="楷体" w:eastAsia="楷体" w:cs="楷体"/>
          <w:b/>
          <w:sz w:val="32"/>
          <w:szCs w:val="32"/>
        </w:rPr>
      </w:pPr>
      <w:r>
        <w:rPr>
          <w:rFonts w:hint="eastAsia" w:ascii="楷体" w:hAnsi="楷体" w:eastAsia="楷体" w:cs="楷体"/>
          <w:b/>
          <w:sz w:val="32"/>
          <w:szCs w:val="32"/>
        </w:rPr>
        <w:t>机构设置：</w:t>
      </w:r>
    </w:p>
    <w:p>
      <w:pPr>
        <w:jc w:val="center"/>
        <w:outlineLvl w:val="0"/>
        <w:rPr>
          <w:rFonts w:ascii="黑体" w:hAnsi="黑体" w:eastAsia="黑体" w:cs="楷体"/>
          <w:sz w:val="32"/>
          <w:szCs w:val="24"/>
        </w:rPr>
      </w:pPr>
      <w:r>
        <w:rPr>
          <w:rFonts w:hint="eastAsia" w:ascii="黑体" w:hAnsi="黑体" w:eastAsia="黑体" w:cs="楷体"/>
          <w:sz w:val="32"/>
          <w:szCs w:val="24"/>
        </w:rPr>
        <w:t>部门机构设置情况</w:t>
      </w:r>
    </w:p>
    <w:tbl>
      <w:tblPr>
        <w:tblStyle w:val="8"/>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11" w:hRule="atLeast"/>
          <w:jc w:val="center"/>
        </w:trPr>
        <w:tc>
          <w:tcPr>
            <w:tcW w:w="4443" w:type="dxa"/>
            <w:vAlign w:val="center"/>
          </w:tcPr>
          <w:p>
            <w:pPr>
              <w:spacing w:line="300" w:lineRule="exact"/>
              <w:jc w:val="left"/>
              <w:rPr>
                <w:rFonts w:hint="eastAsia" w:ascii="Times New Roman" w:hAnsi="Times New Roman" w:eastAsia="方正书宋_GBK"/>
                <w:szCs w:val="24"/>
                <w:lang w:eastAsia="zh-CN"/>
              </w:rPr>
            </w:pPr>
            <w:r>
              <w:rPr>
                <w:rFonts w:hint="eastAsia" w:ascii="方正书宋_GBK" w:eastAsia="方正书宋_GBK"/>
                <w:lang w:eastAsia="zh-CN"/>
              </w:rPr>
              <w:t>中共河北省南和县纪律检查委员会</w:t>
            </w:r>
          </w:p>
        </w:tc>
        <w:tc>
          <w:tcPr>
            <w:tcW w:w="1134" w:type="dxa"/>
            <w:vAlign w:val="center"/>
          </w:tcPr>
          <w:p>
            <w:pPr>
              <w:spacing w:line="300" w:lineRule="exact"/>
              <w:jc w:val="center"/>
              <w:rPr>
                <w:rFonts w:ascii="Times New Roman" w:hAnsi="Times New Roman" w:eastAsia="方正书宋_GBK"/>
                <w:szCs w:val="24"/>
              </w:rPr>
            </w:pPr>
            <w:r>
              <w:rPr>
                <w:rFonts w:hint="eastAsia" w:ascii="方正书宋_GBK" w:eastAsia="方正书宋_GBK"/>
              </w:rPr>
              <w:t>行政</w:t>
            </w:r>
          </w:p>
        </w:tc>
        <w:tc>
          <w:tcPr>
            <w:tcW w:w="1276" w:type="dxa"/>
            <w:vAlign w:val="center"/>
          </w:tcPr>
          <w:p>
            <w:pPr>
              <w:spacing w:line="300" w:lineRule="exact"/>
              <w:jc w:val="center"/>
              <w:rPr>
                <w:rFonts w:hint="eastAsia" w:ascii="Times New Roman" w:hAnsi="Times New Roman" w:eastAsia="方正书宋_GBK"/>
                <w:szCs w:val="24"/>
                <w:lang w:eastAsia="zh-CN"/>
              </w:rPr>
            </w:pPr>
            <w:r>
              <w:rPr>
                <w:rFonts w:hint="eastAsia" w:ascii="Times New Roman" w:hAnsi="Times New Roman" w:eastAsia="方正书宋_GBK"/>
                <w:szCs w:val="24"/>
                <w:lang w:eastAsia="zh-CN"/>
              </w:rPr>
              <w:t>副处级</w:t>
            </w:r>
          </w:p>
        </w:tc>
        <w:tc>
          <w:tcPr>
            <w:tcW w:w="2902" w:type="dxa"/>
            <w:vAlign w:val="center"/>
          </w:tcPr>
          <w:p>
            <w:pPr>
              <w:spacing w:line="300" w:lineRule="exact"/>
              <w:jc w:val="center"/>
              <w:rPr>
                <w:rFonts w:ascii="Times New Roman" w:hAnsi="Times New Roman" w:eastAsia="方正书宋_GBK"/>
                <w:szCs w:val="24"/>
              </w:rPr>
            </w:pPr>
            <w:r>
              <w:rPr>
                <w:rFonts w:hint="eastAsia" w:ascii="方正书宋_GBK" w:eastAsia="方正书宋_GBK"/>
              </w:rPr>
              <w:t>财政拨款</w:t>
            </w:r>
          </w:p>
        </w:tc>
      </w:tr>
    </w:tbl>
    <w:p>
      <w:pPr>
        <w:ind w:firstLine="640"/>
        <w:rPr>
          <w:rFonts w:ascii="黑体" w:hAnsi="黑体" w:eastAsia="黑体" w:cs="楷体"/>
          <w:bCs/>
          <w:sz w:val="32"/>
          <w:szCs w:val="32"/>
        </w:rPr>
      </w:pPr>
      <w:r>
        <w:rPr>
          <w:rFonts w:hint="eastAsia" w:ascii="黑体" w:hAnsi="黑体" w:eastAsia="黑体" w:cs="楷体"/>
          <w:bCs/>
          <w:sz w:val="32"/>
          <w:szCs w:val="32"/>
        </w:rPr>
        <w:t>二、部门预算安排的总体情况</w:t>
      </w:r>
    </w:p>
    <w:p>
      <w:pPr>
        <w:ind w:firstLine="640"/>
        <w:rPr>
          <w:rFonts w:ascii="仿宋" w:hAnsi="仿宋" w:eastAsia="仿宋" w:cs="仿宋"/>
          <w:sz w:val="32"/>
          <w:szCs w:val="32"/>
        </w:rPr>
      </w:pPr>
      <w:r>
        <w:rPr>
          <w:rFonts w:hint="eastAsia" w:ascii="仿宋" w:hAnsi="仿宋" w:eastAsia="仿宋" w:cs="仿宋"/>
          <w:sz w:val="32"/>
          <w:szCs w:val="32"/>
        </w:rPr>
        <w:t>按照预算管理有关规定，目前我部门预算的编制实行综合预算制度，即全部收入和支出都反映在预算中。</w:t>
      </w:r>
    </w:p>
    <w:p>
      <w:pPr>
        <w:ind w:firstLine="640"/>
        <w:rPr>
          <w:rFonts w:ascii="楷体_GB2312" w:hAnsi="Times New Roman" w:eastAsia="楷体_GB2312"/>
          <w:b/>
          <w:sz w:val="32"/>
          <w:szCs w:val="32"/>
        </w:rPr>
      </w:pPr>
      <w:r>
        <w:rPr>
          <w:rFonts w:ascii="楷体_GB2312" w:hAnsi="Times New Roman" w:eastAsia="楷体_GB2312"/>
          <w:b/>
          <w:sz w:val="32"/>
          <w:szCs w:val="32"/>
        </w:rPr>
        <w:t>1</w:t>
      </w:r>
      <w:r>
        <w:rPr>
          <w:rFonts w:hint="eastAsia" w:ascii="楷体_GB2312" w:hAnsi="Times New Roman" w:eastAsia="楷体_GB2312"/>
          <w:b/>
          <w:sz w:val="32"/>
          <w:szCs w:val="32"/>
        </w:rPr>
        <w:t>、收入说明</w:t>
      </w:r>
    </w:p>
    <w:p>
      <w:pPr>
        <w:spacing w:line="560" w:lineRule="exact"/>
        <w:ind w:firstLine="640" w:firstLineChars="200"/>
        <w:rPr>
          <w:rFonts w:ascii="仿宋" w:hAnsi="仿宋" w:eastAsia="仿宋"/>
          <w:b/>
          <w:sz w:val="32"/>
          <w:szCs w:val="32"/>
        </w:rPr>
      </w:pPr>
      <w:r>
        <w:rPr>
          <w:rFonts w:hint="eastAsia" w:ascii="仿宋" w:hAnsi="仿宋" w:eastAsia="仿宋" w:cs="仿宋"/>
          <w:sz w:val="32"/>
          <w:szCs w:val="32"/>
        </w:rPr>
        <w:t>反映本部门当年全部收入。</w:t>
      </w:r>
      <w:r>
        <w:rPr>
          <w:rFonts w:hint="eastAsia" w:ascii="仿宋" w:hAnsi="仿宋" w:eastAsia="仿宋" w:cs="宋体"/>
          <w:kern w:val="0"/>
          <w:sz w:val="32"/>
          <w:szCs w:val="32"/>
          <w:lang w:val="zh-CN"/>
        </w:rPr>
        <w:t>本部门</w:t>
      </w:r>
      <w:r>
        <w:rPr>
          <w:rFonts w:ascii="仿宋" w:hAnsi="仿宋" w:eastAsia="仿宋" w:cs="宋体"/>
          <w:kern w:val="0"/>
          <w:sz w:val="32"/>
          <w:szCs w:val="32"/>
          <w:lang w:val="zh-CN"/>
        </w:rPr>
        <w:t>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lang w:val="zh-CN"/>
        </w:rPr>
        <w:t>年共安排预算收入769</w:t>
      </w:r>
      <w:r>
        <w:rPr>
          <w:rFonts w:hint="eastAsia" w:ascii="仿宋" w:hAnsi="仿宋" w:eastAsia="仿宋" w:cs="宋体"/>
          <w:kern w:val="0"/>
          <w:sz w:val="32"/>
          <w:szCs w:val="32"/>
          <w:lang w:val="en-US" w:eastAsia="zh-CN"/>
        </w:rPr>
        <w:t>.</w:t>
      </w:r>
      <w:r>
        <w:rPr>
          <w:rFonts w:hint="eastAsia" w:ascii="仿宋" w:hAnsi="仿宋" w:eastAsia="仿宋" w:cs="宋体"/>
          <w:kern w:val="0"/>
          <w:sz w:val="32"/>
          <w:szCs w:val="32"/>
          <w:lang w:val="zh-CN"/>
        </w:rPr>
        <w:t>20万元，一般公共预算拨款769</w:t>
      </w:r>
      <w:r>
        <w:rPr>
          <w:rFonts w:hint="eastAsia" w:ascii="仿宋" w:hAnsi="仿宋" w:eastAsia="仿宋" w:cs="宋体"/>
          <w:kern w:val="0"/>
          <w:sz w:val="32"/>
          <w:szCs w:val="32"/>
          <w:lang w:val="en-US" w:eastAsia="zh-CN"/>
        </w:rPr>
        <w:t>.</w:t>
      </w:r>
      <w:r>
        <w:rPr>
          <w:rFonts w:hint="eastAsia" w:ascii="仿宋" w:hAnsi="仿宋" w:eastAsia="仿宋" w:cs="宋体"/>
          <w:kern w:val="0"/>
          <w:sz w:val="32"/>
          <w:szCs w:val="32"/>
          <w:lang w:val="zh-CN"/>
        </w:rPr>
        <w:t>20万元。</w:t>
      </w:r>
    </w:p>
    <w:p>
      <w:pPr>
        <w:ind w:firstLine="640"/>
        <w:rPr>
          <w:rFonts w:ascii="楷体_GB2312" w:hAnsi="Times New Roman" w:eastAsia="楷体_GB2312"/>
          <w:b/>
          <w:sz w:val="32"/>
          <w:szCs w:val="32"/>
        </w:rPr>
      </w:pPr>
      <w:r>
        <w:rPr>
          <w:rFonts w:ascii="楷体_GB2312" w:hAnsi="Times New Roman" w:eastAsia="楷体_GB2312"/>
          <w:b/>
          <w:sz w:val="32"/>
          <w:szCs w:val="32"/>
        </w:rPr>
        <w:t>2</w:t>
      </w:r>
      <w:r>
        <w:rPr>
          <w:rFonts w:hint="eastAsia" w:ascii="楷体_GB2312" w:hAnsi="Times New Roman" w:eastAsia="楷体_GB2312"/>
          <w:b/>
          <w:sz w:val="32"/>
          <w:szCs w:val="32"/>
        </w:rPr>
        <w:t>、支出说明</w:t>
      </w:r>
    </w:p>
    <w:p>
      <w:pPr>
        <w:spacing w:line="560" w:lineRule="exact"/>
        <w:ind w:firstLine="720" w:firstLineChars="225"/>
        <w:rPr>
          <w:rFonts w:ascii="仿宋" w:hAnsi="仿宋" w:eastAsia="仿宋" w:cs="宋体"/>
          <w:kern w:val="0"/>
          <w:sz w:val="32"/>
          <w:szCs w:val="32"/>
          <w:lang w:val="zh-CN"/>
        </w:rPr>
      </w:pPr>
      <w:r>
        <w:rPr>
          <w:rFonts w:hint="eastAsia" w:ascii="仿宋" w:hAnsi="仿宋" w:eastAsia="仿宋" w:cs="仿宋"/>
          <w:sz w:val="32"/>
          <w:szCs w:val="32"/>
        </w:rPr>
        <w:t>收支预算总表支出栏、基本支出表、项目支出表按经济分类和支出功能分类科目编制，反映</w:t>
      </w:r>
      <w:r>
        <w:rPr>
          <w:rFonts w:hint="eastAsia" w:ascii="仿宋" w:hAnsi="仿宋" w:eastAsia="仿宋" w:cs="仿宋"/>
          <w:sz w:val="32"/>
          <w:szCs w:val="32"/>
          <w:lang w:eastAsia="zh-CN"/>
        </w:rPr>
        <w:t>中共河北省南和县纪律检查委员会</w:t>
      </w:r>
      <w:r>
        <w:rPr>
          <w:rFonts w:hint="eastAsia" w:ascii="仿宋" w:hAnsi="仿宋" w:eastAsia="仿宋" w:cs="仿宋"/>
          <w:sz w:val="32"/>
          <w:szCs w:val="32"/>
          <w:lang w:val="en-US" w:eastAsia="zh-CN"/>
        </w:rPr>
        <w:t>2020</w:t>
      </w:r>
      <w:r>
        <w:rPr>
          <w:rFonts w:hint="eastAsia" w:ascii="仿宋" w:hAnsi="仿宋" w:eastAsia="仿宋" w:cs="仿宋"/>
          <w:sz w:val="32"/>
          <w:szCs w:val="32"/>
        </w:rPr>
        <w:t>年部门预算中支出预算的总体情况。</w:t>
      </w:r>
      <w:r>
        <w:rPr>
          <w:rFonts w:hint="eastAsia" w:ascii="仿宋" w:hAnsi="仿宋" w:eastAsia="仿宋" w:cs="宋体"/>
          <w:kern w:val="0"/>
          <w:sz w:val="32"/>
          <w:szCs w:val="32"/>
          <w:lang w:val="zh-CN"/>
        </w:rPr>
        <w:t>本部门</w:t>
      </w:r>
      <w:r>
        <w:rPr>
          <w:rFonts w:ascii="仿宋" w:hAnsi="仿宋" w:eastAsia="仿宋" w:cs="宋体"/>
          <w:kern w:val="0"/>
          <w:sz w:val="32"/>
          <w:szCs w:val="32"/>
          <w:lang w:val="zh-CN"/>
        </w:rPr>
        <w:t>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lang w:val="zh-CN"/>
        </w:rPr>
        <w:t>年共安排预算支出769</w:t>
      </w:r>
      <w:r>
        <w:rPr>
          <w:rFonts w:hint="eastAsia" w:ascii="仿宋" w:hAnsi="仿宋" w:eastAsia="仿宋" w:cs="宋体"/>
          <w:kern w:val="0"/>
          <w:sz w:val="32"/>
          <w:szCs w:val="32"/>
          <w:lang w:val="en-US" w:eastAsia="zh-CN"/>
        </w:rPr>
        <w:t>.</w:t>
      </w:r>
      <w:r>
        <w:rPr>
          <w:rFonts w:hint="eastAsia" w:ascii="仿宋" w:hAnsi="仿宋" w:eastAsia="仿宋" w:cs="宋体"/>
          <w:kern w:val="0"/>
          <w:sz w:val="32"/>
          <w:szCs w:val="32"/>
          <w:lang w:val="zh-CN"/>
        </w:rPr>
        <w:t>20万元，人员经费支出</w:t>
      </w:r>
      <w:r>
        <w:rPr>
          <w:rFonts w:hint="eastAsia" w:ascii="仿宋" w:hAnsi="仿宋" w:eastAsia="仿宋" w:cs="宋体"/>
          <w:kern w:val="0"/>
          <w:sz w:val="32"/>
          <w:szCs w:val="32"/>
          <w:lang w:val="en-US" w:eastAsia="zh-CN"/>
        </w:rPr>
        <w:t>494.92</w:t>
      </w:r>
      <w:r>
        <w:rPr>
          <w:rFonts w:hint="eastAsia" w:ascii="仿宋" w:hAnsi="仿宋" w:eastAsia="仿宋" w:cs="宋体"/>
          <w:kern w:val="0"/>
          <w:sz w:val="32"/>
          <w:szCs w:val="32"/>
        </w:rPr>
        <w:t>万元、</w:t>
      </w:r>
      <w:r>
        <w:rPr>
          <w:rFonts w:hint="eastAsia" w:ascii="仿宋" w:hAnsi="仿宋" w:eastAsia="仿宋" w:cs="宋体"/>
          <w:kern w:val="0"/>
          <w:sz w:val="32"/>
          <w:szCs w:val="32"/>
          <w:lang w:val="zh-CN"/>
        </w:rPr>
        <w:t>日常公用经费151</w:t>
      </w:r>
      <w:r>
        <w:rPr>
          <w:rFonts w:hint="eastAsia" w:ascii="仿宋" w:hAnsi="仿宋" w:eastAsia="仿宋" w:cs="宋体"/>
          <w:kern w:val="0"/>
          <w:sz w:val="32"/>
          <w:szCs w:val="32"/>
          <w:lang w:val="en-US" w:eastAsia="zh-CN"/>
        </w:rPr>
        <w:t>.</w:t>
      </w:r>
      <w:r>
        <w:rPr>
          <w:rFonts w:hint="eastAsia" w:ascii="仿宋" w:hAnsi="仿宋" w:eastAsia="仿宋" w:cs="宋体"/>
          <w:kern w:val="0"/>
          <w:sz w:val="32"/>
          <w:szCs w:val="32"/>
          <w:lang w:val="zh-CN"/>
        </w:rPr>
        <w:t>48</w:t>
      </w:r>
      <w:r>
        <w:rPr>
          <w:rFonts w:hint="eastAsia" w:ascii="仿宋" w:hAnsi="仿宋" w:eastAsia="仿宋" w:cs="宋体"/>
          <w:kern w:val="0"/>
          <w:sz w:val="32"/>
          <w:szCs w:val="32"/>
        </w:rPr>
        <w:t>万元、项目支出122</w:t>
      </w:r>
      <w:r>
        <w:rPr>
          <w:rFonts w:hint="eastAsia" w:ascii="仿宋" w:hAnsi="仿宋" w:eastAsia="仿宋" w:cs="宋体"/>
          <w:kern w:val="0"/>
          <w:sz w:val="32"/>
          <w:szCs w:val="32"/>
          <w:lang w:val="en-US" w:eastAsia="zh-CN"/>
        </w:rPr>
        <w:t>.</w:t>
      </w:r>
      <w:r>
        <w:rPr>
          <w:rFonts w:hint="eastAsia" w:ascii="仿宋" w:hAnsi="仿宋" w:eastAsia="仿宋" w:cs="宋体"/>
          <w:kern w:val="0"/>
          <w:sz w:val="32"/>
          <w:szCs w:val="32"/>
        </w:rPr>
        <w:t>8万元</w:t>
      </w:r>
      <w:r>
        <w:rPr>
          <w:rFonts w:hint="eastAsia" w:ascii="仿宋" w:hAnsi="仿宋" w:eastAsia="仿宋" w:cs="宋体"/>
          <w:kern w:val="0"/>
          <w:sz w:val="32"/>
          <w:szCs w:val="32"/>
          <w:lang w:val="zh-CN"/>
        </w:rPr>
        <w:t>。</w:t>
      </w:r>
    </w:p>
    <w:p>
      <w:pPr>
        <w:ind w:firstLine="640"/>
        <w:rPr>
          <w:rFonts w:ascii="楷体_GB2312" w:hAnsi="Times New Roman" w:eastAsia="楷体_GB2312"/>
          <w:b/>
          <w:sz w:val="32"/>
          <w:szCs w:val="32"/>
        </w:rPr>
      </w:pPr>
      <w:r>
        <w:rPr>
          <w:rFonts w:ascii="楷体_GB2312" w:hAnsi="Times New Roman" w:eastAsia="楷体_GB2312"/>
          <w:b/>
          <w:sz w:val="32"/>
          <w:szCs w:val="32"/>
        </w:rPr>
        <w:t>3</w:t>
      </w:r>
      <w:r>
        <w:rPr>
          <w:rFonts w:hint="eastAsia" w:ascii="楷体_GB2312" w:hAnsi="Times New Roman" w:eastAsia="楷体_GB2312"/>
          <w:b/>
          <w:sz w:val="32"/>
          <w:szCs w:val="32"/>
        </w:rPr>
        <w:t>、比上年增减情况</w:t>
      </w:r>
    </w:p>
    <w:p>
      <w:pPr>
        <w:ind w:firstLine="640"/>
        <w:rPr>
          <w:rFonts w:hint="eastAsia" w:ascii="仿宋" w:hAnsi="仿宋" w:eastAsia="仿宋" w:cs="仿宋"/>
          <w:sz w:val="32"/>
          <w:szCs w:val="32"/>
          <w:lang w:eastAsia="zh-CN"/>
        </w:rPr>
      </w:pPr>
      <w:r>
        <w:rPr>
          <w:rFonts w:ascii="仿宋" w:hAnsi="仿宋" w:eastAsia="仿宋" w:cs="仿宋"/>
          <w:sz w:val="32"/>
          <w:szCs w:val="32"/>
        </w:rPr>
        <w:t>2019</w:t>
      </w:r>
      <w:r>
        <w:rPr>
          <w:rFonts w:hint="eastAsia" w:ascii="仿宋" w:hAnsi="仿宋" w:eastAsia="仿宋" w:cs="仿宋"/>
          <w:sz w:val="32"/>
          <w:szCs w:val="32"/>
        </w:rPr>
        <w:t>年预算收支安排</w:t>
      </w:r>
      <w:r>
        <w:rPr>
          <w:rFonts w:hint="eastAsia" w:ascii="仿宋" w:hAnsi="仿宋" w:eastAsia="仿宋" w:cs="宋体"/>
          <w:kern w:val="0"/>
          <w:sz w:val="32"/>
          <w:szCs w:val="32"/>
          <w:lang w:val="zh-CN"/>
        </w:rPr>
        <w:t>1148</w:t>
      </w:r>
      <w:r>
        <w:rPr>
          <w:rFonts w:hint="eastAsia" w:ascii="仿宋" w:hAnsi="仿宋" w:eastAsia="仿宋" w:cs="宋体"/>
          <w:kern w:val="0"/>
          <w:sz w:val="32"/>
          <w:szCs w:val="32"/>
          <w:lang w:val="en-US" w:eastAsia="zh-CN"/>
        </w:rPr>
        <w:t>.</w:t>
      </w:r>
      <w:r>
        <w:rPr>
          <w:rFonts w:hint="eastAsia" w:ascii="仿宋" w:hAnsi="仿宋" w:eastAsia="仿宋" w:cs="宋体"/>
          <w:kern w:val="0"/>
          <w:sz w:val="32"/>
          <w:szCs w:val="32"/>
          <w:lang w:val="zh-CN"/>
        </w:rPr>
        <w:t>3</w:t>
      </w:r>
      <w:r>
        <w:rPr>
          <w:rFonts w:hint="eastAsia" w:ascii="仿宋" w:hAnsi="仿宋" w:eastAsia="仿宋" w:cs="宋体"/>
          <w:kern w:val="0"/>
          <w:sz w:val="32"/>
          <w:szCs w:val="32"/>
          <w:lang w:val="en-US" w:eastAsia="zh-CN"/>
        </w:rPr>
        <w:t>1</w:t>
      </w:r>
      <w:r>
        <w:rPr>
          <w:rFonts w:hint="eastAsia" w:ascii="仿宋" w:hAnsi="仿宋" w:eastAsia="仿宋" w:cs="仿宋"/>
          <w:sz w:val="32"/>
          <w:szCs w:val="32"/>
        </w:rPr>
        <w:t>万元，</w:t>
      </w:r>
      <w:r>
        <w:rPr>
          <w:rFonts w:hint="eastAsia" w:ascii="仿宋" w:hAnsi="仿宋" w:eastAsia="仿宋" w:cs="仿宋"/>
          <w:sz w:val="32"/>
          <w:szCs w:val="32"/>
          <w:lang w:val="en-US" w:eastAsia="zh-CN"/>
        </w:rPr>
        <w:t>2020年</w:t>
      </w:r>
      <w:r>
        <w:rPr>
          <w:rFonts w:hint="eastAsia" w:ascii="仿宋" w:hAnsi="仿宋" w:eastAsia="仿宋" w:cs="仿宋"/>
          <w:sz w:val="32"/>
          <w:szCs w:val="32"/>
        </w:rPr>
        <w:t>较</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年预算</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379.11</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27.56</w:t>
      </w:r>
      <w:r>
        <w:rPr>
          <w:rFonts w:hint="eastAsia" w:ascii="仿宋" w:hAnsi="仿宋" w:eastAsia="仿宋" w:cs="仿宋"/>
          <w:sz w:val="32"/>
          <w:szCs w:val="32"/>
        </w:rPr>
        <w:t>万元，主要为人员</w:t>
      </w:r>
      <w:r>
        <w:rPr>
          <w:rFonts w:hint="eastAsia" w:ascii="仿宋" w:hAnsi="仿宋" w:eastAsia="仿宋" w:cs="仿宋"/>
          <w:sz w:val="32"/>
          <w:szCs w:val="32"/>
          <w:lang w:eastAsia="zh-CN"/>
        </w:rPr>
        <w:t>调入工资</w:t>
      </w:r>
      <w:r>
        <w:rPr>
          <w:rFonts w:hint="eastAsia" w:ascii="仿宋" w:hAnsi="仿宋" w:eastAsia="仿宋" w:cs="仿宋"/>
          <w:sz w:val="32"/>
          <w:szCs w:val="32"/>
        </w:rPr>
        <w:t>支出增加</w:t>
      </w:r>
      <w:r>
        <w:rPr>
          <w:rFonts w:hint="eastAsia" w:ascii="仿宋_GB2312" w:eastAsia="仿宋_GB2312"/>
          <w:sz w:val="32"/>
          <w:szCs w:val="32"/>
        </w:rPr>
        <w:t>；</w:t>
      </w:r>
      <w:r>
        <w:rPr>
          <w:rFonts w:hint="eastAsia" w:ascii="仿宋" w:hAnsi="仿宋" w:eastAsia="仿宋" w:cs="仿宋"/>
          <w:sz w:val="32"/>
          <w:szCs w:val="32"/>
        </w:rPr>
        <w:t>项目支出</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406.67</w:t>
      </w:r>
      <w:r>
        <w:rPr>
          <w:rFonts w:hint="eastAsia" w:ascii="仿宋" w:hAnsi="仿宋" w:eastAsia="仿宋" w:cs="仿宋"/>
          <w:sz w:val="32"/>
          <w:szCs w:val="32"/>
        </w:rPr>
        <w:t>万元，主要为</w:t>
      </w:r>
      <w:r>
        <w:rPr>
          <w:rFonts w:hint="eastAsia" w:ascii="仿宋" w:hAnsi="仿宋" w:eastAsia="仿宋" w:cs="仿宋"/>
          <w:sz w:val="32"/>
          <w:szCs w:val="32"/>
          <w:lang w:eastAsia="zh-CN"/>
        </w:rPr>
        <w:t>机关新址改造工程完成，减少了项目支出。</w:t>
      </w:r>
    </w:p>
    <w:p>
      <w:pPr>
        <w:autoSpaceDE w:val="0"/>
        <w:autoSpaceDN w:val="0"/>
        <w:adjustRightInd w:val="0"/>
        <w:jc w:val="left"/>
        <w:rPr>
          <w:rFonts w:ascii="楷体" w:hAnsi="楷体" w:eastAsia="楷体" w:cs="楷体"/>
          <w:b/>
          <w:bCs/>
          <w:sz w:val="32"/>
          <w:szCs w:val="32"/>
        </w:rPr>
      </w:pPr>
      <w:r>
        <w:rPr>
          <w:rFonts w:ascii="楷体" w:hAnsi="楷体" w:eastAsia="楷体" w:cs="楷体"/>
          <w:b/>
          <w:bCs/>
          <w:sz w:val="32"/>
          <w:szCs w:val="32"/>
        </w:rPr>
        <w:t xml:space="preserve">    </w:t>
      </w:r>
      <w:r>
        <w:rPr>
          <w:rFonts w:hint="eastAsia" w:ascii="黑体" w:hAnsi="黑体" w:eastAsia="黑体" w:cs="楷体"/>
          <w:bCs/>
          <w:sz w:val="32"/>
          <w:szCs w:val="32"/>
        </w:rPr>
        <w:t>三、机关运行经费安排情况</w:t>
      </w:r>
    </w:p>
    <w:p>
      <w:pPr>
        <w:autoSpaceDE w:val="0"/>
        <w:autoSpaceDN w:val="0"/>
        <w:spacing w:line="560" w:lineRule="exact"/>
        <w:ind w:firstLine="645"/>
        <w:rPr>
          <w:rFonts w:ascii="仿宋" w:hAnsi="仿宋" w:eastAsia="仿宋" w:cs="仿宋"/>
          <w:sz w:val="32"/>
          <w:szCs w:val="32"/>
        </w:rPr>
      </w:pPr>
      <w:r>
        <w:rPr>
          <w:rFonts w:hint="eastAsia" w:ascii="仿宋" w:hAnsi="仿宋" w:eastAsia="仿宋" w:cs="宋体"/>
          <w:kern w:val="0"/>
          <w:sz w:val="32"/>
          <w:szCs w:val="32"/>
          <w:lang w:val="zh-CN"/>
        </w:rPr>
        <w:t>机关运行经费情况：</w:t>
      </w:r>
      <w:r>
        <w:rPr>
          <w:rFonts w:hint="eastAsia" w:ascii="仿宋" w:hAnsi="仿宋" w:eastAsia="仿宋"/>
          <w:color w:val="000000"/>
          <w:sz w:val="32"/>
        </w:rPr>
        <w:t>机关运行经费共计安排</w:t>
      </w:r>
      <w:r>
        <w:rPr>
          <w:rFonts w:hint="eastAsia" w:ascii="仿宋" w:hAnsi="仿宋" w:eastAsia="仿宋" w:cs="宋体"/>
          <w:kern w:val="0"/>
          <w:sz w:val="32"/>
          <w:szCs w:val="32"/>
          <w:lang w:val="en-US" w:eastAsia="zh-CN"/>
        </w:rPr>
        <w:t>151.48</w:t>
      </w:r>
      <w:r>
        <w:rPr>
          <w:rFonts w:hint="eastAsia" w:ascii="仿宋" w:hAnsi="仿宋" w:eastAsia="仿宋"/>
          <w:color w:val="000000"/>
          <w:sz w:val="32"/>
        </w:rPr>
        <w:t>万元，主要用于办公费、印刷费、邮电费、公务交通补贴等日常运行支出。</w:t>
      </w:r>
    </w:p>
    <w:p>
      <w:pPr>
        <w:autoSpaceDE w:val="0"/>
        <w:autoSpaceDN w:val="0"/>
        <w:adjustRightInd w:val="0"/>
        <w:jc w:val="left"/>
        <w:rPr>
          <w:rFonts w:ascii="楷体" w:hAnsi="楷体" w:eastAsia="楷体" w:cs="楷体"/>
          <w:b/>
          <w:bCs/>
          <w:sz w:val="32"/>
          <w:szCs w:val="32"/>
        </w:rPr>
      </w:pPr>
      <w:r>
        <w:rPr>
          <w:rFonts w:ascii="楷体" w:hAnsi="楷体" w:eastAsia="楷体" w:cs="楷体"/>
          <w:b/>
          <w:bCs/>
          <w:sz w:val="32"/>
          <w:szCs w:val="32"/>
        </w:rPr>
        <w:t xml:space="preserve">    </w:t>
      </w:r>
      <w:r>
        <w:rPr>
          <w:rFonts w:hint="eastAsia" w:ascii="黑体" w:hAnsi="黑体" w:eastAsia="黑体" w:cs="楷体"/>
          <w:bCs/>
          <w:sz w:val="32"/>
          <w:szCs w:val="32"/>
        </w:rPr>
        <w:t>四、财政拨款“三公”经费预算情况及增减变化原因</w:t>
      </w:r>
    </w:p>
    <w:p>
      <w:pPr>
        <w:autoSpaceDE w:val="0"/>
        <w:autoSpaceDN w:val="0"/>
        <w:adjustRightInd w:val="0"/>
        <w:ind w:firstLine="640"/>
        <w:jc w:val="left"/>
        <w:rPr>
          <w:rFonts w:ascii="仿宋" w:hAnsi="仿宋" w:eastAsia="仿宋" w:cs="仿宋"/>
          <w:sz w:val="32"/>
          <w:szCs w:val="32"/>
        </w:rPr>
      </w:pPr>
      <w:r>
        <w:rPr>
          <w:rFonts w:hint="eastAsia" w:ascii="仿宋" w:hAnsi="仿宋" w:eastAsia="仿宋" w:cs="宋体"/>
          <w:kern w:val="0"/>
          <w:sz w:val="32"/>
          <w:szCs w:val="32"/>
          <w:lang w:val="en-US" w:eastAsia="zh-CN"/>
        </w:rPr>
        <w:t>2019</w:t>
      </w:r>
      <w:r>
        <w:rPr>
          <w:rFonts w:hint="eastAsia" w:ascii="仿宋" w:hAnsi="仿宋" w:eastAsia="仿宋" w:cs="宋体"/>
          <w:kern w:val="0"/>
          <w:sz w:val="32"/>
          <w:szCs w:val="32"/>
          <w:lang w:val="zh-CN"/>
        </w:rPr>
        <w:t>年本部门共安排“三公”经费</w:t>
      </w:r>
      <w:r>
        <w:rPr>
          <w:rFonts w:hint="eastAsia" w:ascii="仿宋" w:hAnsi="仿宋" w:eastAsia="仿宋" w:cs="宋体"/>
          <w:kern w:val="0"/>
          <w:sz w:val="32"/>
          <w:szCs w:val="32"/>
          <w:lang w:val="en-US" w:eastAsia="zh-CN"/>
        </w:rPr>
        <w:t>69.3</w:t>
      </w:r>
      <w:r>
        <w:rPr>
          <w:rFonts w:hint="eastAsia" w:ascii="仿宋" w:hAnsi="仿宋" w:eastAsia="仿宋" w:cs="宋体"/>
          <w:kern w:val="0"/>
          <w:sz w:val="32"/>
          <w:szCs w:val="32"/>
          <w:lang w:val="zh-CN"/>
        </w:rPr>
        <w:t>万元</w:t>
      </w:r>
      <w:r>
        <w:rPr>
          <w:rFonts w:ascii="仿宋" w:hAnsi="仿宋" w:eastAsia="仿宋" w:cs="宋体"/>
          <w:kern w:val="0"/>
          <w:sz w:val="32"/>
          <w:szCs w:val="32"/>
          <w:lang w:val="zh-CN"/>
        </w:rPr>
        <w:t>,</w:t>
      </w:r>
      <w:r>
        <w:rPr>
          <w:rFonts w:ascii="仿宋" w:hAnsi="仿宋" w:eastAsia="仿宋" w:cs="仿宋"/>
          <w:sz w:val="32"/>
          <w:szCs w:val="32"/>
        </w:rPr>
        <w:t xml:space="preserve"> </w:t>
      </w:r>
      <w:r>
        <w:rPr>
          <w:rFonts w:hint="eastAsia" w:ascii="仿宋" w:hAnsi="仿宋" w:eastAsia="仿宋" w:cs="仿宋"/>
          <w:sz w:val="32"/>
          <w:szCs w:val="32"/>
          <w:lang w:val="en-US" w:eastAsia="zh-CN"/>
        </w:rPr>
        <w:t>2020年本部门共安排“三公”经费20.1万元，</w:t>
      </w:r>
      <w:r>
        <w:rPr>
          <w:rFonts w:hint="eastAsia" w:ascii="仿宋" w:hAnsi="仿宋" w:eastAsia="仿宋" w:cs="仿宋"/>
          <w:sz w:val="32"/>
          <w:szCs w:val="32"/>
        </w:rPr>
        <w:t>较</w:t>
      </w:r>
      <w:r>
        <w:rPr>
          <w:rFonts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年预算</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49.2万元</w:t>
      </w:r>
      <w:r>
        <w:rPr>
          <w:rFonts w:ascii="仿宋" w:hAnsi="仿宋" w:eastAsia="仿宋" w:cs="仿宋"/>
          <w:sz w:val="32"/>
          <w:szCs w:val="32"/>
        </w:rPr>
        <w:t>,</w:t>
      </w:r>
      <w:r>
        <w:rPr>
          <w:rFonts w:hint="eastAsia" w:ascii="仿宋" w:hAnsi="仿宋" w:eastAsia="仿宋" w:cs="仿宋"/>
          <w:sz w:val="32"/>
          <w:szCs w:val="32"/>
        </w:rPr>
        <w:t>其中公务用车购置及运维费</w:t>
      </w:r>
      <w:r>
        <w:rPr>
          <w:rFonts w:hint="eastAsia" w:ascii="仿宋" w:hAnsi="仿宋" w:eastAsia="仿宋" w:cs="仿宋"/>
          <w:sz w:val="32"/>
          <w:szCs w:val="32"/>
          <w:lang w:val="en-US" w:eastAsia="zh-CN"/>
        </w:rPr>
        <w:t>19.6</w:t>
      </w:r>
      <w:r>
        <w:rPr>
          <w:rFonts w:hint="eastAsia" w:ascii="仿宋" w:hAnsi="仿宋" w:eastAsia="仿宋" w:cs="仿宋"/>
          <w:sz w:val="32"/>
          <w:szCs w:val="32"/>
        </w:rPr>
        <w:t>万元（其中：公务用车购置费为</w:t>
      </w:r>
      <w:r>
        <w:rPr>
          <w:rFonts w:ascii="仿宋" w:hAnsi="仿宋" w:eastAsia="仿宋" w:cs="仿宋"/>
          <w:sz w:val="32"/>
          <w:szCs w:val="32"/>
        </w:rPr>
        <w:t>0</w:t>
      </w:r>
      <w:r>
        <w:rPr>
          <w:rFonts w:hint="eastAsia" w:ascii="仿宋" w:hAnsi="仿宋" w:eastAsia="仿宋" w:cs="仿宋"/>
          <w:sz w:val="32"/>
          <w:szCs w:val="32"/>
        </w:rPr>
        <w:t>万元，公务用车运行费</w:t>
      </w:r>
      <w:r>
        <w:rPr>
          <w:rFonts w:hint="eastAsia" w:ascii="仿宋" w:hAnsi="仿宋" w:eastAsia="仿宋" w:cs="仿宋"/>
          <w:sz w:val="32"/>
          <w:szCs w:val="32"/>
          <w:lang w:val="en-US" w:eastAsia="zh-CN"/>
        </w:rPr>
        <w:t>19.6</w:t>
      </w:r>
      <w:r>
        <w:rPr>
          <w:rFonts w:hint="eastAsia" w:ascii="仿宋" w:hAnsi="仿宋" w:eastAsia="仿宋" w:cs="仿宋"/>
          <w:sz w:val="32"/>
          <w:szCs w:val="32"/>
        </w:rPr>
        <w:t>万元</w:t>
      </w:r>
      <w:r>
        <w:rPr>
          <w:rFonts w:ascii="仿宋" w:hAnsi="仿宋" w:eastAsia="仿宋" w:cs="仿宋"/>
          <w:sz w:val="32"/>
          <w:szCs w:val="32"/>
        </w:rPr>
        <w:t xml:space="preserve">) </w:t>
      </w:r>
      <w:r>
        <w:rPr>
          <w:rFonts w:hint="eastAsia" w:ascii="仿宋" w:hAnsi="仿宋" w:eastAsia="仿宋" w:cs="仿宋"/>
          <w:sz w:val="32"/>
          <w:szCs w:val="32"/>
        </w:rPr>
        <w:t>，较</w:t>
      </w:r>
      <w:r>
        <w:rPr>
          <w:rFonts w:hint="eastAsia" w:ascii="仿宋" w:hAnsi="仿宋" w:eastAsia="仿宋" w:cs="仿宋"/>
          <w:sz w:val="32"/>
          <w:szCs w:val="32"/>
          <w:lang w:val="en-US" w:eastAsia="zh-CN"/>
        </w:rPr>
        <w:t>2019</w:t>
      </w:r>
      <w:r>
        <w:rPr>
          <w:rFonts w:hint="eastAsia" w:ascii="仿宋" w:hAnsi="仿宋" w:eastAsia="仿宋" w:cs="仿宋"/>
          <w:sz w:val="32"/>
          <w:szCs w:val="32"/>
        </w:rPr>
        <w:t>年预算</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48.2万元，其中公务用车购置费减少48万元、公务用车运行费减少0.2万元；2020年</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0.5</w:t>
      </w:r>
      <w:r>
        <w:rPr>
          <w:rFonts w:hint="eastAsia" w:ascii="仿宋" w:hAnsi="仿宋" w:eastAsia="仿宋" w:cs="仿宋"/>
          <w:sz w:val="32"/>
          <w:szCs w:val="32"/>
        </w:rPr>
        <w:t>万元，较</w:t>
      </w:r>
      <w:r>
        <w:rPr>
          <w:rFonts w:hint="eastAsia" w:ascii="仿宋" w:hAnsi="仿宋" w:eastAsia="仿宋" w:cs="仿宋"/>
          <w:sz w:val="32"/>
          <w:szCs w:val="32"/>
          <w:lang w:val="en-US" w:eastAsia="zh-CN"/>
        </w:rPr>
        <w:t>2019</w:t>
      </w:r>
      <w:r>
        <w:rPr>
          <w:rFonts w:hint="eastAsia" w:ascii="仿宋" w:hAnsi="仿宋" w:eastAsia="仿宋" w:cs="仿宋"/>
          <w:sz w:val="32"/>
          <w:szCs w:val="32"/>
        </w:rPr>
        <w:t>年预算</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1万元。</w:t>
      </w:r>
    </w:p>
    <w:p>
      <w:pPr>
        <w:spacing w:line="560" w:lineRule="exact"/>
        <w:ind w:firstLine="720" w:firstLineChars="225"/>
        <w:rPr>
          <w:rFonts w:ascii="楷体" w:hAnsi="楷体" w:eastAsia="楷体" w:cs="楷体"/>
          <w:b/>
          <w:bCs/>
          <w:sz w:val="32"/>
          <w:szCs w:val="32"/>
        </w:rPr>
      </w:pPr>
      <w:r>
        <w:rPr>
          <w:rFonts w:hint="eastAsia" w:ascii="黑体" w:hAnsi="黑体" w:eastAsia="黑体" w:cs="楷体"/>
          <w:bCs/>
          <w:sz w:val="32"/>
          <w:szCs w:val="32"/>
        </w:rPr>
        <w:t>五、绩效预算信息</w:t>
      </w:r>
    </w:p>
    <w:p>
      <w:pPr>
        <w:autoSpaceDE w:val="0"/>
        <w:autoSpaceDN w:val="0"/>
        <w:adjustRightInd w:val="0"/>
        <w:spacing w:line="560" w:lineRule="exact"/>
        <w:jc w:val="left"/>
        <w:rPr>
          <w:rFonts w:ascii="楷体" w:hAnsi="楷体" w:eastAsia="楷体" w:cs="楷体"/>
          <w:b/>
          <w:sz w:val="32"/>
          <w:szCs w:val="32"/>
        </w:rPr>
      </w:pPr>
      <w:bookmarkStart w:id="0" w:name="_Toc471398463"/>
      <w:r>
        <w:rPr>
          <w:rFonts w:ascii="楷体" w:hAnsi="楷体" w:eastAsia="楷体" w:cs="楷体"/>
          <w:b/>
          <w:sz w:val="32"/>
          <w:szCs w:val="32"/>
        </w:rPr>
        <w:t xml:space="preserve">    </w:t>
      </w:r>
      <w:r>
        <w:rPr>
          <w:rFonts w:hint="eastAsia" w:ascii="楷体" w:hAnsi="楷体" w:eastAsia="楷体" w:cs="楷体"/>
          <w:b/>
          <w:sz w:val="32"/>
          <w:szCs w:val="32"/>
        </w:rPr>
        <w:t>总体绩效目标：</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40"/>
        <w:rPr>
          <w:rFonts w:ascii="仿宋" w:hAnsi="仿宋" w:eastAsia="仿宋"/>
          <w:sz w:val="32"/>
          <w:szCs w:val="32"/>
        </w:rPr>
      </w:pPr>
      <w:r>
        <w:rPr>
          <w:rFonts w:hint="eastAsia" w:ascii="仿宋_GB2312" w:hAnsi="仿宋_GB2312" w:eastAsia="仿宋_GB2312" w:cs="仿宋_GB2312"/>
          <w:kern w:val="0"/>
          <w:sz w:val="32"/>
          <w:szCs w:val="32"/>
        </w:rPr>
        <w:t>认真贯彻落实中央从严管党治党要求，严格执纪、监督、问责，抓好巡察监督、派驻监督、案件办理等工作，推动全县党风廉政建设和反腐败工作取得新成效，在全县形成风清气正、干事创业的政治新生态。</w:t>
      </w:r>
    </w:p>
    <w:p>
      <w:pPr>
        <w:spacing w:line="560" w:lineRule="exact"/>
        <w:ind w:firstLine="560"/>
        <w:rPr>
          <w:rFonts w:ascii="仿宋" w:hAnsi="仿宋" w:eastAsia="仿宋"/>
          <w:sz w:val="32"/>
          <w:szCs w:val="32"/>
        </w:rPr>
      </w:pPr>
    </w:p>
    <w:tbl>
      <w:tblPr>
        <w:tblStyle w:val="8"/>
        <w:tblW w:w="29308" w:type="dxa"/>
        <w:tblInd w:w="201" w:type="dxa"/>
        <w:tblLayout w:type="fixed"/>
        <w:tblCellMar>
          <w:top w:w="0" w:type="dxa"/>
          <w:left w:w="108" w:type="dxa"/>
          <w:bottom w:w="0" w:type="dxa"/>
          <w:right w:w="108" w:type="dxa"/>
        </w:tblCellMar>
      </w:tblPr>
      <w:tblGrid>
        <w:gridCol w:w="1272"/>
        <w:gridCol w:w="1260"/>
        <w:gridCol w:w="4480"/>
        <w:gridCol w:w="3680"/>
        <w:gridCol w:w="1000"/>
        <w:gridCol w:w="740"/>
        <w:gridCol w:w="740"/>
        <w:gridCol w:w="740"/>
        <w:gridCol w:w="740"/>
        <w:gridCol w:w="1476"/>
        <w:gridCol w:w="4480"/>
        <w:gridCol w:w="3680"/>
        <w:gridCol w:w="1000"/>
        <w:gridCol w:w="740"/>
        <w:gridCol w:w="740"/>
        <w:gridCol w:w="740"/>
        <w:gridCol w:w="740"/>
        <w:gridCol w:w="1060"/>
      </w:tblGrid>
      <w:tr>
        <w:tblPrEx>
          <w:tblLayout w:type="fixed"/>
          <w:tblCellMar>
            <w:top w:w="0" w:type="dxa"/>
            <w:left w:w="108" w:type="dxa"/>
            <w:bottom w:w="0" w:type="dxa"/>
            <w:right w:w="108" w:type="dxa"/>
          </w:tblCellMar>
        </w:tblPrEx>
        <w:trPr>
          <w:trHeight w:val="315" w:hRule="atLeast"/>
        </w:trPr>
        <w:tc>
          <w:tcPr>
            <w:tcW w:w="14652" w:type="dxa"/>
            <w:gridSpan w:val="9"/>
            <w:tcBorders>
              <w:top w:val="nil"/>
              <w:left w:val="nil"/>
              <w:bottom w:val="nil"/>
              <w:right w:val="nil"/>
            </w:tcBorders>
            <w:noWrap/>
            <w:vAlign w:val="bottom"/>
          </w:tcPr>
          <w:tbl>
            <w:tblPr>
              <w:tblStyle w:val="8"/>
              <w:tblW w:w="14990" w:type="dxa"/>
              <w:tblInd w:w="-230" w:type="dxa"/>
              <w:tblLayout w:type="fixed"/>
              <w:tblCellMar>
                <w:top w:w="0" w:type="dxa"/>
                <w:left w:w="108" w:type="dxa"/>
                <w:bottom w:w="0" w:type="dxa"/>
                <w:right w:w="108" w:type="dxa"/>
              </w:tblCellMar>
            </w:tblPr>
            <w:tblGrid>
              <w:gridCol w:w="1398"/>
              <w:gridCol w:w="1260"/>
              <w:gridCol w:w="4485"/>
              <w:gridCol w:w="3660"/>
              <w:gridCol w:w="975"/>
              <w:gridCol w:w="795"/>
              <w:gridCol w:w="690"/>
              <w:gridCol w:w="780"/>
              <w:gridCol w:w="947"/>
            </w:tblGrid>
            <w:tr>
              <w:tblPrEx>
                <w:tblLayout w:type="fixed"/>
                <w:tblCellMar>
                  <w:top w:w="0" w:type="dxa"/>
                  <w:left w:w="108" w:type="dxa"/>
                  <w:bottom w:w="0" w:type="dxa"/>
                  <w:right w:w="108" w:type="dxa"/>
                </w:tblCellMar>
              </w:tblPrEx>
              <w:trPr>
                <w:trHeight w:val="570" w:hRule="atLeast"/>
              </w:trPr>
              <w:tc>
                <w:tcPr>
                  <w:tcW w:w="14990" w:type="dxa"/>
                  <w:gridSpan w:val="9"/>
                  <w:tcBorders>
                    <w:top w:val="nil"/>
                    <w:left w:val="nil"/>
                    <w:bottom w:val="nil"/>
                    <w:right w:val="nil"/>
                  </w:tcBorders>
                  <w:vAlign w:val="bottom"/>
                </w:tcPr>
                <w:p>
                  <w:pPr>
                    <w:widowControl/>
                    <w:jc w:val="center"/>
                    <w:rPr>
                      <w:rFonts w:ascii="方正小标宋简体" w:hAnsi="宋体" w:eastAsia="方正小标宋简体" w:cs="宋体"/>
                      <w:color w:val="000000"/>
                      <w:kern w:val="0"/>
                      <w:sz w:val="32"/>
                      <w:szCs w:val="32"/>
                    </w:rPr>
                  </w:pPr>
                  <w:r>
                    <w:rPr>
                      <w:rFonts w:hint="eastAsia" w:ascii="方正小标宋简体" w:hAnsi="宋体" w:eastAsia="方正小标宋简体" w:cs="宋体"/>
                      <w:color w:val="000000"/>
                      <w:kern w:val="0"/>
                      <w:sz w:val="32"/>
                      <w:szCs w:val="32"/>
                    </w:rPr>
                    <w:t>南和县县级部门职责</w:t>
                  </w:r>
                  <w:r>
                    <w:rPr>
                      <w:rFonts w:ascii="方正小标宋简体" w:hAnsi="宋体" w:eastAsia="方正小标宋简体" w:cs="宋体"/>
                      <w:color w:val="000000"/>
                      <w:kern w:val="0"/>
                      <w:sz w:val="32"/>
                      <w:szCs w:val="32"/>
                    </w:rPr>
                    <w:t>—</w:t>
                  </w:r>
                  <w:r>
                    <w:rPr>
                      <w:rFonts w:hint="eastAsia" w:ascii="方正小标宋简体" w:hAnsi="宋体" w:eastAsia="方正小标宋简体" w:cs="宋体"/>
                      <w:color w:val="000000"/>
                      <w:kern w:val="0"/>
                      <w:sz w:val="32"/>
                      <w:szCs w:val="32"/>
                    </w:rPr>
                    <w:t>工作活动绩效目标表</w:t>
                  </w:r>
                </w:p>
              </w:tc>
            </w:tr>
            <w:tr>
              <w:tblPrEx>
                <w:tblLayout w:type="fixed"/>
                <w:tblCellMar>
                  <w:top w:w="0" w:type="dxa"/>
                  <w:left w:w="108" w:type="dxa"/>
                  <w:bottom w:w="0" w:type="dxa"/>
                  <w:right w:w="108" w:type="dxa"/>
                </w:tblCellMar>
              </w:tblPrEx>
              <w:trPr>
                <w:trHeight w:val="570" w:hRule="atLeast"/>
              </w:trPr>
              <w:tc>
                <w:tcPr>
                  <w:tcW w:w="7143" w:type="dxa"/>
                  <w:gridSpan w:val="3"/>
                  <w:tcBorders>
                    <w:top w:val="nil"/>
                    <w:left w:val="nil"/>
                    <w:bottom w:val="nil"/>
                    <w:right w:val="nil"/>
                  </w:tcBorders>
                  <w:noWrap/>
                  <w:vAlign w:val="bottom"/>
                </w:tcPr>
                <w:p>
                  <w:pPr>
                    <w:widowControl/>
                    <w:jc w:val="left"/>
                    <w:rPr>
                      <w:rFonts w:hint="eastAsia" w:ascii="方正书宋_GBK" w:hAnsi="宋体" w:eastAsia="方正书宋_GBK" w:cs="宋体"/>
                      <w:b/>
                      <w:bCs/>
                      <w:kern w:val="0"/>
                      <w:sz w:val="24"/>
                      <w:szCs w:val="24"/>
                      <w:lang w:eastAsia="zh-CN"/>
                    </w:rPr>
                  </w:pPr>
                  <w:r>
                    <w:rPr>
                      <w:rFonts w:hint="eastAsia" w:ascii="方正书宋_GBK" w:hAnsi="宋体" w:eastAsia="方正书宋_GBK" w:cs="宋体"/>
                      <w:b/>
                      <w:bCs/>
                      <w:kern w:val="0"/>
                      <w:sz w:val="24"/>
                      <w:szCs w:val="24"/>
                    </w:rPr>
                    <w:t>部门编码及名称：</w:t>
                  </w:r>
                  <w:r>
                    <w:rPr>
                      <w:rFonts w:ascii="方正书宋_GBK" w:hAnsi="宋体" w:eastAsia="方正书宋_GBK" w:cs="宋体"/>
                      <w:b/>
                      <w:bCs/>
                      <w:kern w:val="0"/>
                      <w:sz w:val="24"/>
                      <w:szCs w:val="24"/>
                    </w:rPr>
                    <w:t>40</w:t>
                  </w:r>
                  <w:r>
                    <w:rPr>
                      <w:rFonts w:hint="eastAsia" w:ascii="方正书宋_GBK" w:hAnsi="宋体" w:eastAsia="方正书宋_GBK" w:cs="宋体"/>
                      <w:b/>
                      <w:bCs/>
                      <w:kern w:val="0"/>
                      <w:sz w:val="24"/>
                      <w:szCs w:val="24"/>
                      <w:lang w:val="en-US" w:eastAsia="zh-CN"/>
                    </w:rPr>
                    <w:t>5</w:t>
                  </w:r>
                  <w:r>
                    <w:rPr>
                      <w:rFonts w:hint="eastAsia" w:ascii="方正书宋_GBK" w:hAnsi="宋体" w:eastAsia="方正书宋_GBK" w:cs="宋体"/>
                      <w:b/>
                      <w:bCs/>
                      <w:kern w:val="0"/>
                      <w:sz w:val="24"/>
                      <w:szCs w:val="24"/>
                      <w:lang w:eastAsia="zh-CN"/>
                    </w:rPr>
                    <w:t>南和县纪检委</w:t>
                  </w:r>
                </w:p>
              </w:tc>
              <w:tc>
                <w:tcPr>
                  <w:tcW w:w="3660" w:type="dxa"/>
                  <w:tcBorders>
                    <w:top w:val="nil"/>
                    <w:left w:val="nil"/>
                    <w:bottom w:val="nil"/>
                    <w:right w:val="nil"/>
                  </w:tcBorders>
                  <w:noWrap/>
                  <w:vAlign w:val="bottom"/>
                </w:tcPr>
                <w:p>
                  <w:pPr>
                    <w:widowControl/>
                    <w:ind w:firstLine="241" w:firstLineChars="100"/>
                    <w:jc w:val="right"/>
                    <w:rPr>
                      <w:rFonts w:ascii="Times New Roman" w:hAnsi="Times New Roman"/>
                      <w:b/>
                      <w:bCs/>
                      <w:kern w:val="0"/>
                      <w:sz w:val="24"/>
                      <w:szCs w:val="24"/>
                    </w:rPr>
                  </w:pPr>
                  <w:r>
                    <w:rPr>
                      <w:rFonts w:hint="eastAsia" w:ascii="方正书宋_GBK" w:hAnsi="Times New Roman" w:eastAsia="方正书宋_GBK"/>
                      <w:b/>
                      <w:bCs/>
                      <w:kern w:val="0"/>
                      <w:sz w:val="24"/>
                      <w:szCs w:val="24"/>
                    </w:rPr>
                    <w:t>预算年度：</w:t>
                  </w:r>
                  <w:r>
                    <w:rPr>
                      <w:rFonts w:ascii="Times New Roman" w:hAnsi="Times New Roman"/>
                      <w:b/>
                      <w:bCs/>
                      <w:kern w:val="0"/>
                      <w:sz w:val="24"/>
                      <w:szCs w:val="24"/>
                    </w:rPr>
                    <w:t>20</w:t>
                  </w:r>
                  <w:r>
                    <w:rPr>
                      <w:rFonts w:hint="eastAsia" w:ascii="Times New Roman" w:hAnsi="Times New Roman"/>
                      <w:b/>
                      <w:bCs/>
                      <w:kern w:val="0"/>
                      <w:sz w:val="24"/>
                      <w:szCs w:val="24"/>
                      <w:lang w:val="en-US" w:eastAsia="zh-CN"/>
                    </w:rPr>
                    <w:t>20</w:t>
                  </w:r>
                  <w:r>
                    <w:rPr>
                      <w:rFonts w:hint="eastAsia" w:ascii="方正书宋_GBK" w:hAnsi="Times New Roman" w:eastAsia="方正书宋_GBK"/>
                      <w:b/>
                      <w:bCs/>
                      <w:kern w:val="0"/>
                      <w:sz w:val="24"/>
                      <w:szCs w:val="24"/>
                    </w:rPr>
                    <w:t>年</w:t>
                  </w:r>
                </w:p>
              </w:tc>
              <w:tc>
                <w:tcPr>
                  <w:tcW w:w="975" w:type="dxa"/>
                  <w:tcBorders>
                    <w:top w:val="nil"/>
                    <w:left w:val="nil"/>
                    <w:bottom w:val="nil"/>
                    <w:right w:val="nil"/>
                  </w:tcBorders>
                  <w:noWrap/>
                  <w:vAlign w:val="bottom"/>
                </w:tcPr>
                <w:p>
                  <w:pPr>
                    <w:widowControl/>
                    <w:jc w:val="left"/>
                    <w:rPr>
                      <w:rFonts w:ascii="Times New Roman" w:hAnsi="Times New Roman"/>
                      <w:b/>
                      <w:bCs/>
                      <w:kern w:val="0"/>
                      <w:sz w:val="24"/>
                      <w:szCs w:val="24"/>
                    </w:rPr>
                  </w:pPr>
                </w:p>
              </w:tc>
              <w:tc>
                <w:tcPr>
                  <w:tcW w:w="795" w:type="dxa"/>
                  <w:tcBorders>
                    <w:top w:val="nil"/>
                    <w:left w:val="nil"/>
                    <w:bottom w:val="nil"/>
                    <w:right w:val="nil"/>
                  </w:tcBorders>
                  <w:noWrap/>
                  <w:vAlign w:val="bottom"/>
                </w:tcPr>
                <w:p>
                  <w:pPr>
                    <w:widowControl/>
                    <w:jc w:val="left"/>
                    <w:rPr>
                      <w:rFonts w:ascii="Times New Roman" w:hAnsi="Times New Roman"/>
                      <w:b/>
                      <w:bCs/>
                      <w:kern w:val="0"/>
                      <w:sz w:val="24"/>
                      <w:szCs w:val="24"/>
                    </w:rPr>
                  </w:pPr>
                </w:p>
              </w:tc>
              <w:tc>
                <w:tcPr>
                  <w:tcW w:w="690" w:type="dxa"/>
                  <w:tcBorders>
                    <w:top w:val="nil"/>
                    <w:left w:val="nil"/>
                    <w:bottom w:val="nil"/>
                    <w:right w:val="nil"/>
                  </w:tcBorders>
                  <w:noWrap/>
                  <w:vAlign w:val="bottom"/>
                </w:tcPr>
                <w:p>
                  <w:pPr>
                    <w:widowControl/>
                    <w:jc w:val="left"/>
                    <w:rPr>
                      <w:rFonts w:ascii="Times New Roman" w:hAnsi="Times New Roman"/>
                      <w:b/>
                      <w:bCs/>
                      <w:kern w:val="0"/>
                      <w:sz w:val="24"/>
                      <w:szCs w:val="24"/>
                    </w:rPr>
                  </w:pPr>
                </w:p>
              </w:tc>
              <w:tc>
                <w:tcPr>
                  <w:tcW w:w="1727" w:type="dxa"/>
                  <w:gridSpan w:val="2"/>
                  <w:tcBorders>
                    <w:top w:val="nil"/>
                    <w:left w:val="nil"/>
                    <w:bottom w:val="nil"/>
                    <w:right w:val="nil"/>
                  </w:tcBorders>
                  <w:noWrap/>
                  <w:vAlign w:val="bottom"/>
                </w:tcPr>
                <w:p>
                  <w:pPr>
                    <w:widowControl/>
                    <w:jc w:val="left"/>
                    <w:rPr>
                      <w:rFonts w:ascii="方正书宋_GBK" w:hAnsi="宋体" w:eastAsia="方正书宋_GBK" w:cs="宋体"/>
                      <w:b/>
                      <w:bCs/>
                      <w:kern w:val="0"/>
                      <w:sz w:val="24"/>
                      <w:szCs w:val="24"/>
                    </w:rPr>
                  </w:pPr>
                  <w:r>
                    <w:rPr>
                      <w:rFonts w:hint="eastAsia" w:ascii="方正书宋_GBK" w:hAnsi="宋体" w:eastAsia="方正书宋_GBK" w:cs="宋体"/>
                      <w:b/>
                      <w:bCs/>
                      <w:kern w:val="0"/>
                      <w:sz w:val="24"/>
                      <w:szCs w:val="24"/>
                    </w:rPr>
                    <w:t>单位：元</w:t>
                  </w:r>
                </w:p>
              </w:tc>
            </w:tr>
            <w:tr>
              <w:tblPrEx>
                <w:tblLayout w:type="fixed"/>
                <w:tblCellMar>
                  <w:top w:w="0" w:type="dxa"/>
                  <w:left w:w="108" w:type="dxa"/>
                  <w:bottom w:w="0" w:type="dxa"/>
                  <w:right w:w="108" w:type="dxa"/>
                </w:tblCellMar>
              </w:tblPrEx>
              <w:trPr>
                <w:trHeight w:val="285" w:hRule="atLeast"/>
              </w:trPr>
              <w:tc>
                <w:tcPr>
                  <w:tcW w:w="1398"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方正书宋_GBK" w:hAnsi="宋体" w:eastAsia="方正书宋_GBK" w:cs="宋体"/>
                      <w:b/>
                      <w:bCs/>
                      <w:color w:val="000000"/>
                      <w:kern w:val="0"/>
                      <w:sz w:val="20"/>
                      <w:szCs w:val="20"/>
                    </w:rPr>
                  </w:pPr>
                  <w:r>
                    <w:rPr>
                      <w:rFonts w:hint="eastAsia" w:ascii="方正书宋_GBK" w:hAnsi="宋体" w:eastAsia="方正书宋_GBK" w:cs="宋体"/>
                      <w:b/>
                      <w:bCs/>
                      <w:color w:val="000000"/>
                      <w:kern w:val="0"/>
                      <w:sz w:val="20"/>
                      <w:szCs w:val="20"/>
                    </w:rPr>
                    <w:t>职责活动</w:t>
                  </w:r>
                </w:p>
              </w:tc>
              <w:tc>
                <w:tcPr>
                  <w:tcW w:w="126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方正书宋_GBK" w:hAnsi="宋体" w:eastAsia="方正书宋_GBK" w:cs="宋体"/>
                      <w:b/>
                      <w:bCs/>
                      <w:color w:val="000000"/>
                      <w:kern w:val="0"/>
                      <w:sz w:val="20"/>
                      <w:szCs w:val="20"/>
                    </w:rPr>
                  </w:pPr>
                  <w:r>
                    <w:rPr>
                      <w:rFonts w:hint="eastAsia" w:ascii="方正书宋_GBK" w:hAnsi="宋体" w:eastAsia="方正书宋_GBK" w:cs="宋体"/>
                      <w:b/>
                      <w:bCs/>
                      <w:color w:val="000000"/>
                      <w:kern w:val="0"/>
                      <w:sz w:val="20"/>
                      <w:szCs w:val="20"/>
                    </w:rPr>
                    <w:t>年度预算数</w:t>
                  </w:r>
                </w:p>
              </w:tc>
              <w:tc>
                <w:tcPr>
                  <w:tcW w:w="448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方正书宋_GBK" w:hAnsi="宋体" w:eastAsia="方正书宋_GBK" w:cs="宋体"/>
                      <w:b/>
                      <w:bCs/>
                      <w:color w:val="000000"/>
                      <w:kern w:val="0"/>
                      <w:sz w:val="20"/>
                      <w:szCs w:val="20"/>
                    </w:rPr>
                  </w:pPr>
                  <w:r>
                    <w:rPr>
                      <w:rFonts w:hint="eastAsia" w:ascii="方正书宋_GBK" w:hAnsi="宋体" w:eastAsia="方正书宋_GBK" w:cs="宋体"/>
                      <w:b/>
                      <w:bCs/>
                      <w:color w:val="000000"/>
                      <w:kern w:val="0"/>
                      <w:sz w:val="20"/>
                      <w:szCs w:val="20"/>
                    </w:rPr>
                    <w:t>内容描述</w:t>
                  </w:r>
                </w:p>
              </w:tc>
              <w:tc>
                <w:tcPr>
                  <w:tcW w:w="366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方正书宋_GBK" w:hAnsi="宋体" w:eastAsia="方正书宋_GBK" w:cs="宋体"/>
                      <w:b/>
                      <w:bCs/>
                      <w:color w:val="000000"/>
                      <w:kern w:val="0"/>
                      <w:sz w:val="20"/>
                      <w:szCs w:val="20"/>
                    </w:rPr>
                  </w:pPr>
                  <w:r>
                    <w:rPr>
                      <w:rFonts w:hint="eastAsia" w:ascii="方正书宋_GBK" w:hAnsi="宋体" w:eastAsia="方正书宋_GBK" w:cs="宋体"/>
                      <w:b/>
                      <w:bCs/>
                      <w:color w:val="000000"/>
                      <w:kern w:val="0"/>
                      <w:sz w:val="20"/>
                      <w:szCs w:val="20"/>
                    </w:rPr>
                    <w:t>绩效目标</w:t>
                  </w:r>
                </w:p>
              </w:tc>
              <w:tc>
                <w:tcPr>
                  <w:tcW w:w="97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方正书宋_GBK" w:hAnsi="宋体" w:eastAsia="方正书宋_GBK" w:cs="宋体"/>
                      <w:b/>
                      <w:bCs/>
                      <w:color w:val="000000"/>
                      <w:kern w:val="0"/>
                      <w:sz w:val="20"/>
                      <w:szCs w:val="20"/>
                    </w:rPr>
                  </w:pPr>
                  <w:r>
                    <w:rPr>
                      <w:rFonts w:hint="eastAsia" w:ascii="方正书宋_GBK" w:hAnsi="宋体" w:eastAsia="方正书宋_GBK" w:cs="宋体"/>
                      <w:b/>
                      <w:bCs/>
                      <w:color w:val="000000"/>
                      <w:kern w:val="0"/>
                      <w:sz w:val="20"/>
                      <w:szCs w:val="20"/>
                    </w:rPr>
                    <w:t>绩效指标</w:t>
                  </w:r>
                </w:p>
              </w:tc>
              <w:tc>
                <w:tcPr>
                  <w:tcW w:w="3212" w:type="dxa"/>
                  <w:gridSpan w:val="4"/>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方正书宋_GBK" w:hAnsi="宋体" w:eastAsia="方正书宋_GBK" w:cs="宋体"/>
                      <w:b/>
                      <w:bCs/>
                      <w:kern w:val="0"/>
                      <w:sz w:val="20"/>
                      <w:szCs w:val="20"/>
                    </w:rPr>
                  </w:pPr>
                  <w:r>
                    <w:rPr>
                      <w:rFonts w:hint="eastAsia" w:ascii="方正书宋_GBK" w:hAnsi="宋体" w:eastAsia="方正书宋_GBK" w:cs="宋体"/>
                      <w:b/>
                      <w:bCs/>
                      <w:kern w:val="0"/>
                      <w:sz w:val="20"/>
                      <w:szCs w:val="20"/>
                    </w:rPr>
                    <w:t>绩效标准</w:t>
                  </w:r>
                </w:p>
              </w:tc>
            </w:tr>
            <w:tr>
              <w:tblPrEx>
                <w:tblLayout w:type="fixed"/>
                <w:tblCellMar>
                  <w:top w:w="0" w:type="dxa"/>
                  <w:left w:w="108" w:type="dxa"/>
                  <w:bottom w:w="0" w:type="dxa"/>
                  <w:right w:w="108" w:type="dxa"/>
                </w:tblCellMar>
              </w:tblPrEx>
              <w:trPr>
                <w:trHeight w:val="285" w:hRule="atLeast"/>
              </w:trPr>
              <w:tc>
                <w:tcPr>
                  <w:tcW w:w="139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书宋_GBK" w:hAnsi="宋体" w:eastAsia="方正书宋_GBK" w:cs="宋体"/>
                      <w:b/>
                      <w:bCs/>
                      <w:color w:val="000000"/>
                      <w:kern w:val="0"/>
                      <w:sz w:val="20"/>
                      <w:szCs w:val="20"/>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书宋_GBK" w:hAnsi="宋体" w:eastAsia="方正书宋_GBK" w:cs="宋体"/>
                      <w:b/>
                      <w:bCs/>
                      <w:color w:val="000000"/>
                      <w:kern w:val="0"/>
                      <w:sz w:val="20"/>
                      <w:szCs w:val="20"/>
                    </w:rPr>
                  </w:pPr>
                </w:p>
              </w:tc>
              <w:tc>
                <w:tcPr>
                  <w:tcW w:w="44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书宋_GBK" w:hAnsi="宋体" w:eastAsia="方正书宋_GBK" w:cs="宋体"/>
                      <w:b/>
                      <w:bCs/>
                      <w:color w:val="000000"/>
                      <w:kern w:val="0"/>
                      <w:sz w:val="20"/>
                      <w:szCs w:val="20"/>
                    </w:rPr>
                  </w:pPr>
                </w:p>
              </w:tc>
              <w:tc>
                <w:tcPr>
                  <w:tcW w:w="36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书宋_GBK" w:hAnsi="宋体" w:eastAsia="方正书宋_GBK" w:cs="宋体"/>
                      <w:b/>
                      <w:bCs/>
                      <w:color w:val="000000"/>
                      <w:kern w:val="0"/>
                      <w:sz w:val="20"/>
                      <w:szCs w:val="20"/>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方正书宋_GBK" w:hAnsi="宋体" w:eastAsia="方正书宋_GBK" w:cs="宋体"/>
                      <w:b/>
                      <w:bCs/>
                      <w:color w:val="000000"/>
                      <w:kern w:val="0"/>
                      <w:sz w:val="20"/>
                      <w:szCs w:val="20"/>
                    </w:rPr>
                  </w:pPr>
                </w:p>
              </w:tc>
              <w:tc>
                <w:tcPr>
                  <w:tcW w:w="795" w:type="dxa"/>
                  <w:tcBorders>
                    <w:top w:val="nil"/>
                    <w:left w:val="nil"/>
                    <w:bottom w:val="single" w:color="auto" w:sz="4" w:space="0"/>
                    <w:right w:val="single" w:color="auto" w:sz="4" w:space="0"/>
                  </w:tcBorders>
                  <w:noWrap/>
                  <w:vAlign w:val="center"/>
                </w:tcPr>
                <w:p>
                  <w:pPr>
                    <w:widowControl/>
                    <w:spacing w:line="240" w:lineRule="exact"/>
                    <w:jc w:val="center"/>
                    <w:rPr>
                      <w:rFonts w:ascii="方正书宋_GBK" w:hAnsi="宋体" w:eastAsia="方正书宋_GBK" w:cs="宋体"/>
                      <w:b/>
                      <w:bCs/>
                      <w:kern w:val="0"/>
                      <w:sz w:val="20"/>
                      <w:szCs w:val="20"/>
                    </w:rPr>
                  </w:pPr>
                  <w:r>
                    <w:rPr>
                      <w:rFonts w:hint="eastAsia" w:ascii="方正书宋_GBK" w:hAnsi="宋体" w:eastAsia="方正书宋_GBK" w:cs="宋体"/>
                      <w:b/>
                      <w:bCs/>
                      <w:kern w:val="0"/>
                      <w:sz w:val="20"/>
                      <w:szCs w:val="20"/>
                    </w:rPr>
                    <w:t>优</w:t>
                  </w:r>
                </w:p>
              </w:tc>
              <w:tc>
                <w:tcPr>
                  <w:tcW w:w="690" w:type="dxa"/>
                  <w:tcBorders>
                    <w:top w:val="nil"/>
                    <w:left w:val="nil"/>
                    <w:bottom w:val="single" w:color="auto" w:sz="4" w:space="0"/>
                    <w:right w:val="single" w:color="auto" w:sz="4" w:space="0"/>
                  </w:tcBorders>
                  <w:noWrap/>
                  <w:vAlign w:val="center"/>
                </w:tcPr>
                <w:p>
                  <w:pPr>
                    <w:widowControl/>
                    <w:spacing w:line="240" w:lineRule="exact"/>
                    <w:jc w:val="center"/>
                    <w:rPr>
                      <w:rFonts w:ascii="方正书宋_GBK" w:hAnsi="宋体" w:eastAsia="方正书宋_GBK" w:cs="宋体"/>
                      <w:b/>
                      <w:bCs/>
                      <w:kern w:val="0"/>
                      <w:sz w:val="20"/>
                      <w:szCs w:val="20"/>
                    </w:rPr>
                  </w:pPr>
                  <w:r>
                    <w:rPr>
                      <w:rFonts w:hint="eastAsia" w:ascii="方正书宋_GBK" w:hAnsi="宋体" w:eastAsia="方正书宋_GBK" w:cs="宋体"/>
                      <w:b/>
                      <w:bCs/>
                      <w:kern w:val="0"/>
                      <w:sz w:val="20"/>
                      <w:szCs w:val="20"/>
                    </w:rPr>
                    <w:t>良</w:t>
                  </w:r>
                </w:p>
              </w:tc>
              <w:tc>
                <w:tcPr>
                  <w:tcW w:w="780" w:type="dxa"/>
                  <w:tcBorders>
                    <w:top w:val="nil"/>
                    <w:left w:val="nil"/>
                    <w:bottom w:val="single" w:color="auto" w:sz="4" w:space="0"/>
                    <w:right w:val="single" w:color="auto" w:sz="4" w:space="0"/>
                  </w:tcBorders>
                  <w:noWrap/>
                  <w:vAlign w:val="center"/>
                </w:tcPr>
                <w:p>
                  <w:pPr>
                    <w:widowControl/>
                    <w:spacing w:line="240" w:lineRule="exact"/>
                    <w:jc w:val="center"/>
                    <w:rPr>
                      <w:rFonts w:ascii="方正书宋_GBK" w:hAnsi="宋体" w:eastAsia="方正书宋_GBK" w:cs="宋体"/>
                      <w:b/>
                      <w:bCs/>
                      <w:kern w:val="0"/>
                      <w:sz w:val="20"/>
                      <w:szCs w:val="20"/>
                    </w:rPr>
                  </w:pPr>
                  <w:r>
                    <w:rPr>
                      <w:rFonts w:hint="eastAsia" w:ascii="方正书宋_GBK" w:hAnsi="宋体" w:eastAsia="方正书宋_GBK" w:cs="宋体"/>
                      <w:b/>
                      <w:bCs/>
                      <w:kern w:val="0"/>
                      <w:sz w:val="20"/>
                      <w:szCs w:val="20"/>
                    </w:rPr>
                    <w:t>中</w:t>
                  </w:r>
                </w:p>
              </w:tc>
              <w:tc>
                <w:tcPr>
                  <w:tcW w:w="947" w:type="dxa"/>
                  <w:tcBorders>
                    <w:top w:val="nil"/>
                    <w:left w:val="nil"/>
                    <w:bottom w:val="single" w:color="auto" w:sz="4" w:space="0"/>
                    <w:right w:val="single" w:color="auto" w:sz="4" w:space="0"/>
                  </w:tcBorders>
                  <w:noWrap/>
                  <w:vAlign w:val="center"/>
                </w:tcPr>
                <w:p>
                  <w:pPr>
                    <w:widowControl/>
                    <w:spacing w:line="240" w:lineRule="exact"/>
                    <w:jc w:val="center"/>
                    <w:rPr>
                      <w:rFonts w:ascii="方正书宋_GBK" w:hAnsi="宋体" w:eastAsia="方正书宋_GBK" w:cs="宋体"/>
                      <w:b/>
                      <w:bCs/>
                      <w:kern w:val="0"/>
                      <w:sz w:val="20"/>
                      <w:szCs w:val="20"/>
                    </w:rPr>
                  </w:pPr>
                  <w:r>
                    <w:rPr>
                      <w:rFonts w:hint="eastAsia" w:ascii="方正书宋_GBK" w:hAnsi="宋体" w:eastAsia="方正书宋_GBK" w:cs="宋体"/>
                      <w:b/>
                      <w:bCs/>
                      <w:kern w:val="0"/>
                      <w:sz w:val="20"/>
                      <w:szCs w:val="20"/>
                    </w:rPr>
                    <w:t>差</w:t>
                  </w:r>
                </w:p>
              </w:tc>
            </w:tr>
            <w:tr>
              <w:tblPrEx>
                <w:tblLayout w:type="fixed"/>
                <w:tblCellMar>
                  <w:top w:w="0" w:type="dxa"/>
                  <w:left w:w="108" w:type="dxa"/>
                  <w:bottom w:w="0" w:type="dxa"/>
                  <w:right w:w="108" w:type="dxa"/>
                </w:tblCellMar>
              </w:tblPrEx>
              <w:trPr>
                <w:trHeight w:val="285" w:hRule="atLeast"/>
              </w:trPr>
              <w:tc>
                <w:tcPr>
                  <w:tcW w:w="13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12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448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366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975"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795"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0"/>
                      <w:szCs w:val="20"/>
                    </w:rPr>
                  </w:pPr>
                  <w:r>
                    <w:rPr>
                      <w:rFonts w:ascii="Times New Roman" w:hAnsi="Times New Roman"/>
                      <w:color w:val="000000"/>
                      <w:kern w:val="0"/>
                      <w:sz w:val="20"/>
                      <w:szCs w:val="20"/>
                    </w:rPr>
                    <w:t>6</w:t>
                  </w:r>
                </w:p>
              </w:tc>
              <w:tc>
                <w:tcPr>
                  <w:tcW w:w="690"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0"/>
                      <w:szCs w:val="20"/>
                    </w:rPr>
                  </w:pPr>
                  <w:r>
                    <w:rPr>
                      <w:rFonts w:ascii="Times New Roman" w:hAnsi="Times New Roman"/>
                      <w:color w:val="000000"/>
                      <w:kern w:val="0"/>
                      <w:sz w:val="20"/>
                      <w:szCs w:val="20"/>
                    </w:rPr>
                    <w:t>7</w:t>
                  </w:r>
                </w:p>
              </w:tc>
              <w:tc>
                <w:tcPr>
                  <w:tcW w:w="780"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947" w:type="dxa"/>
                  <w:tcBorders>
                    <w:top w:val="nil"/>
                    <w:left w:val="nil"/>
                    <w:bottom w:val="single" w:color="auto" w:sz="4" w:space="0"/>
                    <w:right w:val="single" w:color="auto" w:sz="4" w:space="0"/>
                  </w:tcBorders>
                  <w:noWrap/>
                  <w:vAlign w:val="center"/>
                </w:tcPr>
                <w:p>
                  <w:pPr>
                    <w:widowControl/>
                    <w:spacing w:line="240" w:lineRule="exact"/>
                    <w:jc w:val="center"/>
                    <w:rPr>
                      <w:rFonts w:ascii="Times New Roman" w:hAnsi="Times New Roman"/>
                      <w:color w:val="000000"/>
                      <w:kern w:val="0"/>
                      <w:sz w:val="20"/>
                      <w:szCs w:val="20"/>
                    </w:rPr>
                  </w:pPr>
                  <w:r>
                    <w:rPr>
                      <w:rFonts w:ascii="Times New Roman" w:hAnsi="Times New Roman"/>
                      <w:color w:val="000000"/>
                      <w:kern w:val="0"/>
                      <w:sz w:val="20"/>
                      <w:szCs w:val="20"/>
                    </w:rPr>
                    <w:t>9</w:t>
                  </w:r>
                </w:p>
              </w:tc>
            </w:tr>
            <w:tr>
              <w:tblPrEx>
                <w:tblLayout w:type="fixed"/>
                <w:tblCellMar>
                  <w:top w:w="0" w:type="dxa"/>
                  <w:left w:w="108" w:type="dxa"/>
                  <w:bottom w:w="0" w:type="dxa"/>
                  <w:right w:w="108" w:type="dxa"/>
                </w:tblCellMar>
              </w:tblPrEx>
              <w:trPr>
                <w:trHeight w:val="480" w:hRule="atLeast"/>
              </w:trPr>
              <w:tc>
                <w:tcPr>
                  <w:tcW w:w="13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b/>
                      <w:bCs/>
                      <w:color w:val="000000"/>
                      <w:kern w:val="0"/>
                      <w:sz w:val="20"/>
                      <w:szCs w:val="20"/>
                    </w:rPr>
                  </w:pPr>
                  <w:r>
                    <w:rPr>
                      <w:rFonts w:hint="eastAsia" w:ascii="方正书宋_GBK" w:hAnsi="Times New Roman" w:eastAsia="方正书宋_GBK"/>
                      <w:b/>
                      <w:bCs/>
                      <w:color w:val="000000"/>
                      <w:kern w:val="0"/>
                      <w:sz w:val="20"/>
                      <w:szCs w:val="20"/>
                    </w:rPr>
                    <w:t>一、办案问责</w:t>
                  </w:r>
                </w:p>
              </w:tc>
              <w:tc>
                <w:tcPr>
                  <w:tcW w:w="1260" w:type="dxa"/>
                  <w:tcBorders>
                    <w:top w:val="nil"/>
                    <w:left w:val="nil"/>
                    <w:bottom w:val="single" w:color="auto" w:sz="4" w:space="0"/>
                    <w:right w:val="single" w:color="auto" w:sz="4" w:space="0"/>
                  </w:tcBorders>
                  <w:vAlign w:val="center"/>
                </w:tcPr>
                <w:p>
                  <w:pPr>
                    <w:widowControl/>
                    <w:spacing w:line="240" w:lineRule="exact"/>
                    <w:jc w:val="center"/>
                    <w:rPr>
                      <w:rFonts w:ascii="宋体" w:cs="宋体"/>
                      <w:b/>
                      <w:bCs/>
                      <w:color w:val="000000"/>
                      <w:kern w:val="0"/>
                      <w:sz w:val="20"/>
                      <w:szCs w:val="20"/>
                    </w:rPr>
                  </w:pPr>
                  <w:r>
                    <w:rPr>
                      <w:rFonts w:hint="eastAsia" w:ascii="宋体" w:hAnsi="宋体" w:cs="宋体"/>
                      <w:b/>
                      <w:bCs/>
                      <w:color w:val="000000"/>
                      <w:kern w:val="0"/>
                      <w:sz w:val="20"/>
                      <w:szCs w:val="20"/>
                    </w:rPr>
                    <w:t>　</w:t>
                  </w:r>
                </w:p>
              </w:tc>
              <w:tc>
                <w:tcPr>
                  <w:tcW w:w="4485"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szCs w:val="20"/>
                    </w:rPr>
                  </w:pPr>
                  <w:r>
                    <w:rPr>
                      <w:rFonts w:hint="eastAsia" w:ascii="宋体" w:hAnsi="宋体" w:cs="宋体"/>
                      <w:color w:val="000000"/>
                      <w:kern w:val="0"/>
                      <w:sz w:val="20"/>
                      <w:szCs w:val="20"/>
                    </w:rPr>
                    <w:t>受理信访、举报，集中管理问题线索、组织协调案件查办，调查、审查违纪违法案件，对案件审理提出处理意见。</w:t>
                  </w:r>
                </w:p>
              </w:tc>
              <w:tc>
                <w:tcPr>
                  <w:tcW w:w="3660"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szCs w:val="20"/>
                    </w:rPr>
                  </w:pPr>
                  <w:r>
                    <w:rPr>
                      <w:rFonts w:hint="eastAsia" w:ascii="宋体" w:hAnsi="宋体" w:cs="宋体"/>
                      <w:color w:val="000000"/>
                      <w:kern w:val="0"/>
                      <w:sz w:val="20"/>
                      <w:szCs w:val="20"/>
                    </w:rPr>
                    <w:t>维护党纪国法尊严，坚决惩处腐败分子，有效遏制腐败现象。</w:t>
                  </w:r>
                </w:p>
              </w:tc>
              <w:tc>
                <w:tcPr>
                  <w:tcW w:w="975"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p>
              </w:tc>
              <w:tc>
                <w:tcPr>
                  <w:tcW w:w="795"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　</w:t>
                  </w: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　</w:t>
                  </w:r>
                </w:p>
              </w:tc>
              <w:tc>
                <w:tcPr>
                  <w:tcW w:w="78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　</w:t>
                  </w:r>
                </w:p>
              </w:tc>
              <w:tc>
                <w:tcPr>
                  <w:tcW w:w="947"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840" w:hRule="atLeast"/>
              </w:trPr>
              <w:tc>
                <w:tcPr>
                  <w:tcW w:w="1398" w:type="dxa"/>
                  <w:tcBorders>
                    <w:top w:val="nil"/>
                    <w:left w:val="single" w:color="auto" w:sz="4" w:space="0"/>
                    <w:bottom w:val="single" w:color="auto" w:sz="4" w:space="0"/>
                    <w:right w:val="single" w:color="auto" w:sz="4" w:space="0"/>
                  </w:tcBorders>
                  <w:vAlign w:val="center"/>
                </w:tcPr>
                <w:p>
                  <w:pPr>
                    <w:widowControl/>
                    <w:tabs>
                      <w:tab w:val="left" w:pos="478"/>
                    </w:tabs>
                    <w:spacing w:line="240" w:lineRule="exact"/>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案件查办</w:t>
                  </w:r>
                </w:p>
              </w:tc>
              <w:tc>
                <w:tcPr>
                  <w:tcW w:w="126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700000</w:t>
                  </w:r>
                </w:p>
              </w:tc>
              <w:tc>
                <w:tcPr>
                  <w:tcW w:w="4485"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组织查办县管干部违法违纪案件，协助上级纪委查办相关重要、复杂案件，对有关对象违反党纪政纪和违纪违法行为进行问责处理。</w:t>
                  </w:r>
                </w:p>
              </w:tc>
              <w:tc>
                <w:tcPr>
                  <w:tcW w:w="3660"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对腐败问题发现一起，查处一起</w:t>
                  </w:r>
                </w:p>
              </w:tc>
              <w:tc>
                <w:tcPr>
                  <w:tcW w:w="97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　资金使用规范率</w:t>
                  </w:r>
                </w:p>
              </w:tc>
              <w:tc>
                <w:tcPr>
                  <w:tcW w:w="7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94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&lt;40%</w:t>
                  </w:r>
                </w:p>
              </w:tc>
            </w:tr>
            <w:tr>
              <w:tblPrEx>
                <w:tblLayout w:type="fixed"/>
                <w:tblCellMar>
                  <w:top w:w="0" w:type="dxa"/>
                  <w:left w:w="108" w:type="dxa"/>
                  <w:bottom w:w="0" w:type="dxa"/>
                  <w:right w:w="108" w:type="dxa"/>
                </w:tblCellMar>
              </w:tblPrEx>
              <w:trPr>
                <w:trHeight w:val="840" w:hRule="atLeast"/>
              </w:trPr>
              <w:tc>
                <w:tcPr>
                  <w:tcW w:w="13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信访受理</w:t>
                  </w:r>
                </w:p>
              </w:tc>
              <w:tc>
                <w:tcPr>
                  <w:tcW w:w="126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0"/>
                      <w:szCs w:val="20"/>
                    </w:rPr>
                  </w:pPr>
                </w:p>
              </w:tc>
              <w:tc>
                <w:tcPr>
                  <w:tcW w:w="4485"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受理涉及党风党纪和政风政纪问题的检举、控告、申诉，承接上级机关和领导交办、转办的信访问题。</w:t>
                  </w:r>
                </w:p>
              </w:tc>
              <w:tc>
                <w:tcPr>
                  <w:tcW w:w="3660"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解决好群众反映强烈的突出问题</w:t>
                  </w:r>
                </w:p>
              </w:tc>
              <w:tc>
                <w:tcPr>
                  <w:tcW w:w="97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初信初访查结率</w:t>
                  </w:r>
                </w:p>
              </w:tc>
              <w:tc>
                <w:tcPr>
                  <w:tcW w:w="795"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78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94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color w:val="000000"/>
                      <w:kern w:val="0"/>
                      <w:sz w:val="20"/>
                      <w:szCs w:val="20"/>
                    </w:rPr>
                  </w:pPr>
                  <w:r>
                    <w:rPr>
                      <w:rFonts w:hint="eastAsia" w:ascii="宋体" w:hAnsi="宋体" w:cs="宋体"/>
                      <w:color w:val="000000"/>
                      <w:kern w:val="0"/>
                      <w:sz w:val="20"/>
                      <w:szCs w:val="20"/>
                    </w:rPr>
                    <w:t>&lt;40%</w:t>
                  </w:r>
                </w:p>
              </w:tc>
            </w:tr>
            <w:tr>
              <w:tblPrEx>
                <w:tblLayout w:type="fixed"/>
                <w:tblCellMar>
                  <w:top w:w="0" w:type="dxa"/>
                  <w:left w:w="108" w:type="dxa"/>
                  <w:bottom w:w="0" w:type="dxa"/>
                  <w:right w:w="108" w:type="dxa"/>
                </w:tblCellMar>
              </w:tblPrEx>
              <w:trPr>
                <w:trHeight w:val="840" w:hRule="atLeast"/>
              </w:trPr>
              <w:tc>
                <w:tcPr>
                  <w:tcW w:w="1398" w:type="dxa"/>
                  <w:tcBorders>
                    <w:top w:val="nil"/>
                    <w:left w:val="single" w:color="auto" w:sz="4" w:space="0"/>
                    <w:bottom w:val="nil"/>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案件审理</w:t>
                  </w:r>
                </w:p>
              </w:tc>
              <w:tc>
                <w:tcPr>
                  <w:tcW w:w="1260" w:type="dxa"/>
                  <w:tcBorders>
                    <w:top w:val="nil"/>
                    <w:left w:val="nil"/>
                    <w:bottom w:val="nil"/>
                    <w:right w:val="single" w:color="auto" w:sz="4" w:space="0"/>
                  </w:tcBorders>
                  <w:vAlign w:val="center"/>
                </w:tcPr>
                <w:p>
                  <w:pPr>
                    <w:widowControl/>
                    <w:spacing w:line="240" w:lineRule="exact"/>
                    <w:jc w:val="center"/>
                    <w:rPr>
                      <w:rFonts w:ascii="宋体" w:cs="宋体"/>
                      <w:color w:val="000000"/>
                      <w:kern w:val="0"/>
                      <w:sz w:val="20"/>
                      <w:szCs w:val="20"/>
                    </w:rPr>
                  </w:pPr>
                </w:p>
              </w:tc>
              <w:tc>
                <w:tcPr>
                  <w:tcW w:w="4485" w:type="dxa"/>
                  <w:tcBorders>
                    <w:top w:val="nil"/>
                    <w:left w:val="nil"/>
                    <w:bottom w:val="nil"/>
                    <w:right w:val="single" w:color="auto" w:sz="4" w:space="0"/>
                  </w:tcBorders>
                  <w:vAlign w:val="center"/>
                </w:tcPr>
                <w:p>
                  <w:pPr>
                    <w:widowControl/>
                    <w:spacing w:line="240" w:lineRule="exact"/>
                    <w:jc w:val="left"/>
                    <w:rPr>
                      <w:rFonts w:ascii="宋体" w:cs="宋体"/>
                      <w:color w:val="000000"/>
                      <w:kern w:val="0"/>
                      <w:sz w:val="20"/>
                      <w:szCs w:val="20"/>
                    </w:rPr>
                  </w:pPr>
                  <w:r>
                    <w:rPr>
                      <w:rFonts w:hint="eastAsia" w:ascii="宋体" w:hAnsi="宋体" w:cs="宋体"/>
                      <w:color w:val="000000"/>
                      <w:kern w:val="0"/>
                      <w:sz w:val="20"/>
                      <w:szCs w:val="20"/>
                    </w:rPr>
                    <w:t>审理县纪委、监察局检查处理案件，审核县直机关及乡镇报批或备案的案件；承担县监察局的行政复议、行政应诉及有关条规的起草工作。</w:t>
                  </w:r>
                </w:p>
              </w:tc>
              <w:tc>
                <w:tcPr>
                  <w:tcW w:w="3660" w:type="dxa"/>
                  <w:tcBorders>
                    <w:top w:val="nil"/>
                    <w:left w:val="nil"/>
                    <w:bottom w:val="nil"/>
                    <w:right w:val="single" w:color="auto" w:sz="4" w:space="0"/>
                  </w:tcBorders>
                  <w:vAlign w:val="center"/>
                </w:tcPr>
                <w:p>
                  <w:pPr>
                    <w:widowControl/>
                    <w:spacing w:line="240" w:lineRule="exact"/>
                    <w:jc w:val="left"/>
                    <w:rPr>
                      <w:rFonts w:ascii="宋体" w:cs="宋体"/>
                      <w:color w:val="000000"/>
                      <w:kern w:val="0"/>
                      <w:sz w:val="20"/>
                      <w:szCs w:val="20"/>
                    </w:rPr>
                  </w:pPr>
                  <w:r>
                    <w:rPr>
                      <w:rFonts w:hint="eastAsia" w:ascii="宋体" w:hAnsi="宋体" w:cs="宋体"/>
                      <w:color w:val="000000"/>
                      <w:kern w:val="0"/>
                      <w:sz w:val="20"/>
                      <w:szCs w:val="20"/>
                    </w:rPr>
                    <w:t>保障案件查处的公平公正</w:t>
                  </w:r>
                </w:p>
              </w:tc>
              <w:tc>
                <w:tcPr>
                  <w:tcW w:w="975" w:type="dxa"/>
                  <w:tcBorders>
                    <w:top w:val="nil"/>
                    <w:left w:val="nil"/>
                    <w:bottom w:val="nil"/>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案件审结率</w:t>
                  </w:r>
                </w:p>
              </w:tc>
              <w:tc>
                <w:tcPr>
                  <w:tcW w:w="795" w:type="dxa"/>
                  <w:tcBorders>
                    <w:top w:val="nil"/>
                    <w:left w:val="nil"/>
                    <w:bottom w:val="nil"/>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100%</w:t>
                  </w:r>
                </w:p>
              </w:tc>
              <w:tc>
                <w:tcPr>
                  <w:tcW w:w="690" w:type="dxa"/>
                  <w:tcBorders>
                    <w:top w:val="nil"/>
                    <w:left w:val="nil"/>
                    <w:bottom w:val="nil"/>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≥80%</w:t>
                  </w:r>
                </w:p>
              </w:tc>
              <w:tc>
                <w:tcPr>
                  <w:tcW w:w="780" w:type="dxa"/>
                  <w:tcBorders>
                    <w:top w:val="nil"/>
                    <w:left w:val="nil"/>
                    <w:bottom w:val="nil"/>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≥60%</w:t>
                  </w:r>
                </w:p>
              </w:tc>
              <w:tc>
                <w:tcPr>
                  <w:tcW w:w="947" w:type="dxa"/>
                  <w:tcBorders>
                    <w:top w:val="nil"/>
                    <w:left w:val="nil"/>
                    <w:bottom w:val="nil"/>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&lt;40%</w:t>
                  </w:r>
                </w:p>
              </w:tc>
            </w:tr>
            <w:tr>
              <w:tblPrEx>
                <w:tblLayout w:type="fixed"/>
                <w:tblCellMar>
                  <w:top w:w="0" w:type="dxa"/>
                  <w:left w:w="108" w:type="dxa"/>
                  <w:bottom w:w="0" w:type="dxa"/>
                  <w:right w:w="108" w:type="dxa"/>
                </w:tblCellMar>
              </w:tblPrEx>
              <w:trPr>
                <w:trHeight w:val="840" w:hRule="atLeast"/>
              </w:trPr>
              <w:tc>
                <w:tcPr>
                  <w:tcW w:w="1398" w:type="dxa"/>
                  <w:tcBorders>
                    <w:top w:val="nil"/>
                    <w:left w:val="single" w:color="auto" w:sz="4" w:space="0"/>
                    <w:bottom w:val="nil"/>
                    <w:right w:val="single" w:color="auto" w:sz="4" w:space="0"/>
                  </w:tcBorders>
                  <w:vAlign w:val="center"/>
                </w:tcPr>
                <w:p>
                  <w:pPr>
                    <w:widowControl/>
                    <w:spacing w:line="240" w:lineRule="exact"/>
                    <w:jc w:val="center"/>
                    <w:rPr>
                      <w:rFonts w:hint="eastAsia" w:ascii="宋体" w:hAnsi="宋体" w:eastAsia="宋体" w:cs="宋体"/>
                      <w:color w:val="000000"/>
                      <w:kern w:val="0"/>
                      <w:sz w:val="20"/>
                      <w:szCs w:val="20"/>
                      <w:lang w:eastAsia="zh-CN"/>
                    </w:rPr>
                  </w:pPr>
                  <w:r>
                    <w:rPr>
                      <w:rFonts w:hint="eastAsia" w:ascii="方正书宋_GBK" w:hAnsi="Times New Roman" w:eastAsia="方正书宋_GBK"/>
                      <w:b/>
                      <w:bCs/>
                      <w:color w:val="000000"/>
                      <w:kern w:val="0"/>
                      <w:sz w:val="20"/>
                      <w:szCs w:val="20"/>
                      <w:lang w:eastAsia="zh-CN"/>
                    </w:rPr>
                    <w:t>二、党风廉政建设</w:t>
                  </w:r>
                </w:p>
              </w:tc>
              <w:tc>
                <w:tcPr>
                  <w:tcW w:w="1260" w:type="dxa"/>
                  <w:tcBorders>
                    <w:top w:val="nil"/>
                    <w:left w:val="nil"/>
                    <w:bottom w:val="nil"/>
                    <w:right w:val="single" w:color="auto" w:sz="4" w:space="0"/>
                  </w:tcBorders>
                  <w:vAlign w:val="center"/>
                </w:tcPr>
                <w:p>
                  <w:pPr>
                    <w:widowControl/>
                    <w:spacing w:line="240" w:lineRule="exact"/>
                    <w:jc w:val="center"/>
                    <w:rPr>
                      <w:rFonts w:ascii="宋体" w:cs="宋体"/>
                      <w:color w:val="000000"/>
                      <w:kern w:val="0"/>
                      <w:sz w:val="20"/>
                      <w:szCs w:val="20"/>
                    </w:rPr>
                  </w:pPr>
                </w:p>
              </w:tc>
              <w:tc>
                <w:tcPr>
                  <w:tcW w:w="4485" w:type="dxa"/>
                  <w:tcBorders>
                    <w:top w:val="nil"/>
                    <w:left w:val="nil"/>
                    <w:bottom w:val="nil"/>
                    <w:right w:val="single" w:color="auto" w:sz="4" w:space="0"/>
                  </w:tcBorders>
                  <w:vAlign w:val="center"/>
                </w:tcPr>
                <w:p>
                  <w:pPr>
                    <w:widowControl/>
                    <w:spacing w:line="2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组织协调全县党风廉政建设和反腐败宣传、教育、课题研究、法规起草修订等工作；承担县委惩治和预防腐败体系领导小组办公室和县预防腐败局的日常工作。</w:t>
                  </w:r>
                </w:p>
              </w:tc>
              <w:tc>
                <w:tcPr>
                  <w:tcW w:w="3660" w:type="dxa"/>
                  <w:tcBorders>
                    <w:top w:val="nil"/>
                    <w:left w:val="nil"/>
                    <w:bottom w:val="nil"/>
                    <w:right w:val="single" w:color="auto" w:sz="4" w:space="0"/>
                  </w:tcBorders>
                  <w:vAlign w:val="center"/>
                </w:tcPr>
                <w:p>
                  <w:pPr>
                    <w:widowControl/>
                    <w:spacing w:line="2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积极发挥职能作用，加强党风廉政建设，营造风清气正、干事创业的工作氛围。</w:t>
                  </w:r>
                </w:p>
              </w:tc>
              <w:tc>
                <w:tcPr>
                  <w:tcW w:w="975" w:type="dxa"/>
                  <w:tcBorders>
                    <w:top w:val="nil"/>
                    <w:left w:val="nil"/>
                    <w:bottom w:val="nil"/>
                    <w:right w:val="single" w:color="auto" w:sz="4" w:space="0"/>
                  </w:tcBorders>
                  <w:vAlign w:val="center"/>
                </w:tcPr>
                <w:p>
                  <w:pPr>
                    <w:widowControl/>
                    <w:spacing w:line="240" w:lineRule="exact"/>
                    <w:jc w:val="center"/>
                    <w:rPr>
                      <w:rFonts w:hint="eastAsia" w:ascii="宋体" w:hAnsi="宋体" w:cs="宋体"/>
                      <w:color w:val="000000"/>
                      <w:kern w:val="0"/>
                      <w:sz w:val="20"/>
                      <w:szCs w:val="20"/>
                    </w:rPr>
                  </w:pPr>
                </w:p>
              </w:tc>
              <w:tc>
                <w:tcPr>
                  <w:tcW w:w="795" w:type="dxa"/>
                  <w:tcBorders>
                    <w:top w:val="nil"/>
                    <w:left w:val="nil"/>
                    <w:bottom w:val="nil"/>
                    <w:right w:val="single" w:color="auto" w:sz="4" w:space="0"/>
                  </w:tcBorders>
                  <w:vAlign w:val="center"/>
                </w:tcPr>
                <w:p>
                  <w:pPr>
                    <w:widowControl/>
                    <w:spacing w:line="240" w:lineRule="exact"/>
                    <w:jc w:val="center"/>
                    <w:rPr>
                      <w:rFonts w:hint="eastAsia" w:ascii="宋体" w:hAnsi="宋体" w:cs="宋体"/>
                      <w:color w:val="000000"/>
                      <w:kern w:val="0"/>
                      <w:sz w:val="20"/>
                      <w:szCs w:val="20"/>
                    </w:rPr>
                  </w:pPr>
                </w:p>
              </w:tc>
              <w:tc>
                <w:tcPr>
                  <w:tcW w:w="690" w:type="dxa"/>
                  <w:tcBorders>
                    <w:top w:val="nil"/>
                    <w:left w:val="nil"/>
                    <w:bottom w:val="nil"/>
                    <w:right w:val="single" w:color="auto" w:sz="4" w:space="0"/>
                  </w:tcBorders>
                  <w:vAlign w:val="center"/>
                </w:tcPr>
                <w:p>
                  <w:pPr>
                    <w:widowControl/>
                    <w:spacing w:line="240" w:lineRule="exact"/>
                    <w:jc w:val="center"/>
                    <w:rPr>
                      <w:rFonts w:hint="eastAsia" w:ascii="宋体" w:hAnsi="宋体" w:cs="宋体"/>
                      <w:color w:val="000000"/>
                      <w:kern w:val="0"/>
                      <w:sz w:val="20"/>
                      <w:szCs w:val="20"/>
                    </w:rPr>
                  </w:pPr>
                </w:p>
              </w:tc>
              <w:tc>
                <w:tcPr>
                  <w:tcW w:w="780" w:type="dxa"/>
                  <w:tcBorders>
                    <w:top w:val="nil"/>
                    <w:left w:val="nil"/>
                    <w:bottom w:val="nil"/>
                    <w:right w:val="single" w:color="auto" w:sz="4" w:space="0"/>
                  </w:tcBorders>
                  <w:vAlign w:val="center"/>
                </w:tcPr>
                <w:p>
                  <w:pPr>
                    <w:widowControl/>
                    <w:spacing w:line="240" w:lineRule="exact"/>
                    <w:jc w:val="center"/>
                    <w:rPr>
                      <w:rFonts w:hint="eastAsia" w:ascii="宋体" w:hAnsi="宋体" w:cs="宋体"/>
                      <w:color w:val="000000"/>
                      <w:kern w:val="0"/>
                      <w:sz w:val="20"/>
                      <w:szCs w:val="20"/>
                    </w:rPr>
                  </w:pPr>
                </w:p>
              </w:tc>
              <w:tc>
                <w:tcPr>
                  <w:tcW w:w="947" w:type="dxa"/>
                  <w:tcBorders>
                    <w:top w:val="nil"/>
                    <w:left w:val="nil"/>
                    <w:bottom w:val="nil"/>
                    <w:right w:val="single" w:color="auto" w:sz="4" w:space="0"/>
                  </w:tcBorders>
                  <w:vAlign w:val="center"/>
                </w:tcPr>
                <w:p>
                  <w:pPr>
                    <w:widowControl/>
                    <w:spacing w:line="240" w:lineRule="exact"/>
                    <w:jc w:val="center"/>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840" w:hRule="atLeast"/>
              </w:trPr>
              <w:tc>
                <w:tcPr>
                  <w:tcW w:w="1398" w:type="dxa"/>
                  <w:tcBorders>
                    <w:top w:val="nil"/>
                    <w:left w:val="single" w:color="auto" w:sz="4" w:space="0"/>
                    <w:bottom w:val="nil"/>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党风廉政建设</w:t>
                  </w:r>
                </w:p>
              </w:tc>
              <w:tc>
                <w:tcPr>
                  <w:tcW w:w="1260" w:type="dxa"/>
                  <w:tcBorders>
                    <w:top w:val="nil"/>
                    <w:left w:val="nil"/>
                    <w:bottom w:val="nil"/>
                    <w:right w:val="single" w:color="auto" w:sz="4" w:space="0"/>
                  </w:tcBorders>
                  <w:vAlign w:val="center"/>
                </w:tcPr>
                <w:p>
                  <w:pPr>
                    <w:widowControl/>
                    <w:spacing w:line="240" w:lineRule="exact"/>
                    <w:jc w:val="center"/>
                    <w:rPr>
                      <w:rFonts w:ascii="宋体" w:cs="宋体"/>
                      <w:color w:val="000000"/>
                      <w:kern w:val="0"/>
                      <w:sz w:val="20"/>
                      <w:szCs w:val="20"/>
                    </w:rPr>
                  </w:pPr>
                </w:p>
              </w:tc>
              <w:tc>
                <w:tcPr>
                  <w:tcW w:w="4485" w:type="dxa"/>
                  <w:tcBorders>
                    <w:top w:val="nil"/>
                    <w:left w:val="nil"/>
                    <w:bottom w:val="nil"/>
                    <w:right w:val="single" w:color="auto" w:sz="4" w:space="0"/>
                  </w:tcBorders>
                  <w:vAlign w:val="center"/>
                </w:tcPr>
                <w:p>
                  <w:pPr>
                    <w:widowControl/>
                    <w:spacing w:line="2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组织协调全县党风廉政建设和反腐败宣传教育工作，开展对党员、公务员的廉洁自律教育。</w:t>
                  </w:r>
                </w:p>
              </w:tc>
              <w:tc>
                <w:tcPr>
                  <w:tcW w:w="3660" w:type="dxa"/>
                  <w:tcBorders>
                    <w:top w:val="nil"/>
                    <w:left w:val="nil"/>
                    <w:bottom w:val="nil"/>
                    <w:right w:val="single" w:color="auto" w:sz="4" w:space="0"/>
                  </w:tcBorders>
                  <w:vAlign w:val="center"/>
                </w:tcPr>
                <w:p>
                  <w:pPr>
                    <w:widowControl/>
                    <w:spacing w:line="2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积极发挥职能作用，加强党风廉政建设，营造风清气正、干事创业的工作氛围</w:t>
                  </w:r>
                </w:p>
              </w:tc>
              <w:tc>
                <w:tcPr>
                  <w:tcW w:w="975" w:type="dxa"/>
                  <w:tcBorders>
                    <w:top w:val="nil"/>
                    <w:left w:val="nil"/>
                    <w:bottom w:val="nil"/>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教育活动落实率</w:t>
                  </w:r>
                </w:p>
              </w:tc>
              <w:tc>
                <w:tcPr>
                  <w:tcW w:w="795" w:type="dxa"/>
                  <w:tcBorders>
                    <w:top w:val="nil"/>
                    <w:left w:val="nil"/>
                    <w:bottom w:val="nil"/>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100%</w:t>
                  </w:r>
                </w:p>
              </w:tc>
              <w:tc>
                <w:tcPr>
                  <w:tcW w:w="690" w:type="dxa"/>
                  <w:tcBorders>
                    <w:top w:val="nil"/>
                    <w:left w:val="nil"/>
                    <w:bottom w:val="nil"/>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≥80%</w:t>
                  </w:r>
                </w:p>
              </w:tc>
              <w:tc>
                <w:tcPr>
                  <w:tcW w:w="780" w:type="dxa"/>
                  <w:tcBorders>
                    <w:top w:val="nil"/>
                    <w:left w:val="nil"/>
                    <w:bottom w:val="nil"/>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≥60%</w:t>
                  </w:r>
                </w:p>
              </w:tc>
              <w:tc>
                <w:tcPr>
                  <w:tcW w:w="947" w:type="dxa"/>
                  <w:tcBorders>
                    <w:top w:val="nil"/>
                    <w:left w:val="nil"/>
                    <w:bottom w:val="nil"/>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&lt;40%</w:t>
                  </w:r>
                </w:p>
              </w:tc>
            </w:tr>
            <w:tr>
              <w:tblPrEx>
                <w:tblLayout w:type="fixed"/>
                <w:tblCellMar>
                  <w:top w:w="0" w:type="dxa"/>
                  <w:left w:w="108" w:type="dxa"/>
                  <w:bottom w:w="0" w:type="dxa"/>
                  <w:right w:w="108" w:type="dxa"/>
                </w:tblCellMar>
              </w:tblPrEx>
              <w:trPr>
                <w:trHeight w:val="840" w:hRule="atLeast"/>
              </w:trPr>
              <w:tc>
                <w:tcPr>
                  <w:tcW w:w="139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预防腐败和法规建设</w:t>
                  </w:r>
                </w:p>
              </w:tc>
              <w:tc>
                <w:tcPr>
                  <w:tcW w:w="126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p>
              </w:tc>
              <w:tc>
                <w:tcPr>
                  <w:tcW w:w="4485"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强化对关键权力的监督制约，做好全县纪检法规的废改立工作，对纪律检查工作理论及有关问题进行调查研究，向上级党委、纪委提出建设性意见。</w:t>
                  </w:r>
                </w:p>
              </w:tc>
              <w:tc>
                <w:tcPr>
                  <w:tcW w:w="3660"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cs="宋体"/>
                      <w:color w:val="000000"/>
                      <w:kern w:val="0"/>
                      <w:sz w:val="20"/>
                      <w:szCs w:val="20"/>
                    </w:rPr>
                  </w:pPr>
                  <w:r>
                    <w:rPr>
                      <w:rFonts w:hint="eastAsia" w:ascii="宋体" w:hAnsi="宋体" w:cs="宋体"/>
                      <w:color w:val="000000"/>
                      <w:kern w:val="0"/>
                      <w:sz w:val="20"/>
                      <w:szCs w:val="20"/>
                    </w:rPr>
                    <w:t>建立不能腐的有效机制，从源头上预防腐败发生</w:t>
                  </w:r>
                </w:p>
              </w:tc>
              <w:tc>
                <w:tcPr>
                  <w:tcW w:w="97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工作计划完成率</w:t>
                  </w:r>
                </w:p>
              </w:tc>
              <w:tc>
                <w:tcPr>
                  <w:tcW w:w="795"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100%</w:t>
                  </w:r>
                </w:p>
              </w:tc>
              <w:tc>
                <w:tcPr>
                  <w:tcW w:w="69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≥80%</w:t>
                  </w:r>
                </w:p>
              </w:tc>
              <w:tc>
                <w:tcPr>
                  <w:tcW w:w="78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≥60%</w:t>
                  </w:r>
                </w:p>
              </w:tc>
              <w:tc>
                <w:tcPr>
                  <w:tcW w:w="947"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&lt;40%</w:t>
                  </w:r>
                </w:p>
              </w:tc>
            </w:tr>
          </w:tbl>
          <w:p>
            <w:pPr>
              <w:widowControl/>
              <w:jc w:val="left"/>
              <w:rPr>
                <w:rFonts w:ascii="Times New Roman" w:hAnsi="Times New Roman"/>
                <w:kern w:val="0"/>
                <w:sz w:val="24"/>
                <w:szCs w:val="24"/>
              </w:rPr>
            </w:pPr>
          </w:p>
        </w:tc>
        <w:tc>
          <w:tcPr>
            <w:tcW w:w="1476" w:type="dxa"/>
            <w:tcBorders>
              <w:top w:val="nil"/>
              <w:left w:val="nil"/>
              <w:bottom w:val="nil"/>
              <w:right w:val="nil"/>
            </w:tcBorders>
            <w:noWrap/>
            <w:vAlign w:val="bottom"/>
          </w:tcPr>
          <w:p>
            <w:pPr>
              <w:widowControl/>
              <w:jc w:val="left"/>
              <w:rPr>
                <w:rFonts w:ascii="宋体" w:cs="宋体"/>
                <w:kern w:val="0"/>
                <w:sz w:val="24"/>
                <w:szCs w:val="24"/>
              </w:rPr>
            </w:pPr>
          </w:p>
          <w:p>
            <w:pPr>
              <w:widowControl/>
              <w:jc w:val="left"/>
              <w:rPr>
                <w:rFonts w:ascii="宋体" w:cs="宋体"/>
                <w:kern w:val="0"/>
                <w:sz w:val="24"/>
                <w:szCs w:val="24"/>
              </w:rPr>
            </w:pPr>
          </w:p>
          <w:p>
            <w:pPr>
              <w:widowControl/>
              <w:jc w:val="left"/>
              <w:rPr>
                <w:rFonts w:ascii="宋体" w:cs="宋体"/>
                <w:kern w:val="0"/>
                <w:sz w:val="24"/>
                <w:szCs w:val="24"/>
              </w:rPr>
            </w:pPr>
          </w:p>
          <w:p>
            <w:pPr>
              <w:widowControl/>
              <w:jc w:val="left"/>
              <w:rPr>
                <w:rFonts w:ascii="宋体" w:cs="宋体"/>
                <w:kern w:val="0"/>
                <w:sz w:val="24"/>
                <w:szCs w:val="24"/>
              </w:rPr>
            </w:pPr>
          </w:p>
          <w:p>
            <w:pPr>
              <w:widowControl/>
              <w:jc w:val="left"/>
              <w:rPr>
                <w:rFonts w:ascii="宋体" w:cs="宋体"/>
                <w:kern w:val="0"/>
                <w:sz w:val="24"/>
                <w:szCs w:val="24"/>
              </w:rPr>
            </w:pPr>
          </w:p>
        </w:tc>
        <w:tc>
          <w:tcPr>
            <w:tcW w:w="4480" w:type="dxa"/>
            <w:tcBorders>
              <w:top w:val="nil"/>
              <w:left w:val="nil"/>
              <w:bottom w:val="nil"/>
              <w:right w:val="nil"/>
            </w:tcBorders>
            <w:noWrap/>
            <w:vAlign w:val="bottom"/>
          </w:tcPr>
          <w:p>
            <w:pPr>
              <w:widowControl/>
              <w:jc w:val="left"/>
              <w:rPr>
                <w:rFonts w:ascii="宋体" w:cs="宋体"/>
                <w:kern w:val="0"/>
                <w:sz w:val="24"/>
                <w:szCs w:val="24"/>
              </w:rPr>
            </w:pPr>
          </w:p>
        </w:tc>
        <w:tc>
          <w:tcPr>
            <w:tcW w:w="3680" w:type="dxa"/>
            <w:tcBorders>
              <w:top w:val="nil"/>
              <w:left w:val="nil"/>
              <w:bottom w:val="nil"/>
              <w:right w:val="nil"/>
            </w:tcBorders>
            <w:noWrap/>
            <w:vAlign w:val="bottom"/>
          </w:tcPr>
          <w:p>
            <w:pPr>
              <w:widowControl/>
              <w:jc w:val="left"/>
              <w:rPr>
                <w:rFonts w:ascii="宋体" w:cs="宋体"/>
                <w:kern w:val="0"/>
                <w:sz w:val="24"/>
                <w:szCs w:val="24"/>
              </w:rPr>
            </w:pPr>
          </w:p>
        </w:tc>
        <w:tc>
          <w:tcPr>
            <w:tcW w:w="1000" w:type="dxa"/>
            <w:tcBorders>
              <w:top w:val="nil"/>
              <w:left w:val="nil"/>
              <w:bottom w:val="nil"/>
              <w:right w:val="nil"/>
            </w:tcBorders>
            <w:noWrap/>
            <w:vAlign w:val="bottom"/>
          </w:tcPr>
          <w:p>
            <w:pPr>
              <w:widowControl/>
              <w:jc w:val="left"/>
              <w:rPr>
                <w:rFonts w:ascii="宋体" w:cs="宋体"/>
                <w:kern w:val="0"/>
                <w:sz w:val="24"/>
                <w:szCs w:val="24"/>
              </w:rPr>
            </w:pPr>
          </w:p>
        </w:tc>
        <w:tc>
          <w:tcPr>
            <w:tcW w:w="740" w:type="dxa"/>
            <w:tcBorders>
              <w:top w:val="nil"/>
              <w:left w:val="nil"/>
              <w:bottom w:val="nil"/>
              <w:right w:val="nil"/>
            </w:tcBorders>
            <w:noWrap/>
            <w:vAlign w:val="bottom"/>
          </w:tcPr>
          <w:p>
            <w:pPr>
              <w:widowControl/>
              <w:jc w:val="left"/>
              <w:rPr>
                <w:rFonts w:ascii="宋体" w:cs="宋体"/>
                <w:kern w:val="0"/>
                <w:sz w:val="24"/>
                <w:szCs w:val="24"/>
              </w:rPr>
            </w:pPr>
          </w:p>
        </w:tc>
        <w:tc>
          <w:tcPr>
            <w:tcW w:w="740" w:type="dxa"/>
            <w:tcBorders>
              <w:top w:val="nil"/>
              <w:left w:val="nil"/>
              <w:bottom w:val="nil"/>
              <w:right w:val="nil"/>
            </w:tcBorders>
            <w:noWrap/>
            <w:vAlign w:val="bottom"/>
          </w:tcPr>
          <w:p>
            <w:pPr>
              <w:widowControl/>
              <w:jc w:val="left"/>
              <w:rPr>
                <w:rFonts w:ascii="宋体" w:cs="宋体"/>
                <w:kern w:val="0"/>
                <w:sz w:val="24"/>
                <w:szCs w:val="24"/>
              </w:rPr>
            </w:pPr>
          </w:p>
        </w:tc>
        <w:tc>
          <w:tcPr>
            <w:tcW w:w="740" w:type="dxa"/>
            <w:tcBorders>
              <w:top w:val="nil"/>
              <w:left w:val="nil"/>
              <w:bottom w:val="nil"/>
              <w:right w:val="nil"/>
            </w:tcBorders>
            <w:noWrap/>
            <w:vAlign w:val="bottom"/>
          </w:tcPr>
          <w:p>
            <w:pPr>
              <w:widowControl/>
              <w:jc w:val="left"/>
              <w:rPr>
                <w:rFonts w:ascii="宋体" w:cs="宋体"/>
                <w:kern w:val="0"/>
                <w:sz w:val="24"/>
                <w:szCs w:val="24"/>
              </w:rPr>
            </w:pPr>
          </w:p>
        </w:tc>
        <w:tc>
          <w:tcPr>
            <w:tcW w:w="740" w:type="dxa"/>
            <w:tcBorders>
              <w:top w:val="nil"/>
              <w:left w:val="nil"/>
              <w:bottom w:val="nil"/>
              <w:right w:val="nil"/>
            </w:tcBorders>
            <w:noWrap/>
            <w:vAlign w:val="bottom"/>
          </w:tcPr>
          <w:p>
            <w:pPr>
              <w:widowControl/>
              <w:jc w:val="left"/>
              <w:rPr>
                <w:rFonts w:ascii="宋体" w:cs="宋体"/>
                <w:kern w:val="0"/>
                <w:sz w:val="24"/>
                <w:szCs w:val="24"/>
              </w:rPr>
            </w:pPr>
          </w:p>
        </w:tc>
        <w:tc>
          <w:tcPr>
            <w:tcW w:w="1060" w:type="dxa"/>
            <w:tcBorders>
              <w:top w:val="nil"/>
              <w:left w:val="nil"/>
              <w:bottom w:val="nil"/>
              <w:right w:val="nil"/>
            </w:tcBorders>
            <w:noWrap/>
            <w:vAlign w:val="bottom"/>
          </w:tcPr>
          <w:p>
            <w:pPr>
              <w:widowControl/>
              <w:jc w:val="left"/>
              <w:rPr>
                <w:rFonts w:ascii="宋体" w:cs="宋体"/>
                <w:kern w:val="0"/>
                <w:sz w:val="24"/>
                <w:szCs w:val="24"/>
              </w:rPr>
            </w:pPr>
          </w:p>
        </w:tc>
      </w:tr>
      <w:tr>
        <w:tblPrEx>
          <w:tblLayout w:type="fixed"/>
          <w:tblCellMar>
            <w:top w:w="0" w:type="dxa"/>
            <w:left w:w="108" w:type="dxa"/>
            <w:bottom w:w="0" w:type="dxa"/>
            <w:right w:w="108" w:type="dxa"/>
          </w:tblCellMar>
        </w:tblPrEx>
        <w:trPr>
          <w:gridAfter w:val="9"/>
          <w:wAfter w:w="14656" w:type="dxa"/>
          <w:trHeight w:val="750" w:hRule="atLeast"/>
        </w:trPr>
        <w:tc>
          <w:tcPr>
            <w:tcW w:w="127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b/>
                <w:bCs/>
                <w:color w:val="000000"/>
                <w:kern w:val="0"/>
                <w:sz w:val="20"/>
                <w:szCs w:val="20"/>
              </w:rPr>
            </w:pPr>
            <w:r>
              <w:rPr>
                <w:rFonts w:hint="eastAsia" w:ascii="Times New Roman" w:hAnsi="Times New Roman"/>
                <w:b/>
                <w:bCs/>
                <w:color w:val="000000"/>
                <w:kern w:val="0"/>
                <w:sz w:val="20"/>
                <w:szCs w:val="20"/>
                <w:lang w:eastAsia="zh-CN"/>
              </w:rPr>
              <w:t>三</w:t>
            </w:r>
            <w:r>
              <w:rPr>
                <w:rFonts w:hint="eastAsia" w:ascii="Times New Roman" w:hAnsi="Times New Roman"/>
                <w:b/>
                <w:bCs/>
                <w:color w:val="000000"/>
                <w:kern w:val="0"/>
                <w:sz w:val="20"/>
                <w:szCs w:val="20"/>
              </w:rPr>
              <w:t>、监督检查及巡视督查</w:t>
            </w:r>
          </w:p>
        </w:tc>
        <w:tc>
          <w:tcPr>
            <w:tcW w:w="1260" w:type="dxa"/>
            <w:tcBorders>
              <w:top w:val="nil"/>
              <w:left w:val="nil"/>
              <w:bottom w:val="single" w:color="auto" w:sz="4" w:space="0"/>
              <w:right w:val="single" w:color="auto" w:sz="4" w:space="0"/>
            </w:tcBorders>
            <w:vAlign w:val="center"/>
          </w:tcPr>
          <w:p>
            <w:pPr>
              <w:widowControl/>
              <w:spacing w:line="240" w:lineRule="exact"/>
              <w:jc w:val="center"/>
              <w:rPr>
                <w:rFonts w:ascii="宋体" w:cs="宋体"/>
                <w:b/>
                <w:bCs/>
                <w:color w:val="000000"/>
                <w:kern w:val="0"/>
                <w:sz w:val="20"/>
                <w:szCs w:val="20"/>
              </w:rPr>
            </w:pPr>
            <w:r>
              <w:rPr>
                <w:rFonts w:hint="eastAsia" w:ascii="宋体" w:hAnsi="宋体" w:cs="宋体"/>
                <w:b/>
                <w:bCs/>
                <w:color w:val="000000"/>
                <w:kern w:val="0"/>
                <w:sz w:val="20"/>
                <w:szCs w:val="20"/>
              </w:rPr>
              <w:t>　</w:t>
            </w:r>
          </w:p>
        </w:tc>
        <w:tc>
          <w:tcPr>
            <w:tcW w:w="4480"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szCs w:val="20"/>
              </w:rPr>
            </w:pPr>
            <w:r>
              <w:rPr>
                <w:rFonts w:hint="eastAsia" w:ascii="宋体" w:hAnsi="宋体" w:cs="宋体"/>
                <w:color w:val="000000"/>
                <w:kern w:val="0"/>
                <w:sz w:val="20"/>
                <w:szCs w:val="20"/>
              </w:rPr>
              <w:t>监督检查党内法规政策、国家法律法规、党风廉政建设等的执行情况；履行县政府纠正行业不正之风办公室职能；贯彻落实县委有关部署，开展常态化全覆盖监督；做好对巡视工作领导小组、巡视组的服务保障工作。</w:t>
            </w:r>
          </w:p>
        </w:tc>
        <w:tc>
          <w:tcPr>
            <w:tcW w:w="3680"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szCs w:val="20"/>
              </w:rPr>
            </w:pPr>
            <w:r>
              <w:rPr>
                <w:rFonts w:hint="eastAsia" w:ascii="宋体" w:hAnsi="宋体" w:cs="宋体"/>
                <w:color w:val="000000"/>
                <w:kern w:val="0"/>
                <w:sz w:val="20"/>
                <w:szCs w:val="20"/>
              </w:rPr>
              <w:t>加大问责力度，促进“两个责任”有效落实，推动党纪党规、决策部署落到实处，确保全县政令畅通。</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　</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　</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　</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　</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gridAfter w:val="9"/>
          <w:wAfter w:w="14656" w:type="dxa"/>
          <w:trHeight w:val="885" w:hRule="atLeast"/>
        </w:trPr>
        <w:tc>
          <w:tcPr>
            <w:tcW w:w="127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综合事务管理</w:t>
            </w:r>
          </w:p>
        </w:tc>
        <w:tc>
          <w:tcPr>
            <w:tcW w:w="1260" w:type="dxa"/>
            <w:tcBorders>
              <w:top w:val="nil"/>
              <w:left w:val="nil"/>
              <w:bottom w:val="single" w:color="auto" w:sz="4" w:space="0"/>
              <w:right w:val="single" w:color="auto" w:sz="4" w:space="0"/>
            </w:tcBorders>
            <w:vAlign w:val="center"/>
          </w:tcPr>
          <w:p>
            <w:pPr>
              <w:widowControl/>
              <w:spacing w:line="240" w:lineRule="exact"/>
              <w:jc w:val="center"/>
              <w:rPr>
                <w:rFonts w:hint="default" w:ascii="宋体" w:eastAsia="宋体" w:cs="宋体"/>
                <w:color w:val="000000"/>
                <w:kern w:val="0"/>
                <w:sz w:val="20"/>
                <w:szCs w:val="20"/>
                <w:lang w:val="en-US" w:eastAsia="zh-CN"/>
              </w:rPr>
            </w:pPr>
            <w:r>
              <w:rPr>
                <w:rFonts w:hint="eastAsia" w:ascii="宋体" w:cs="宋体"/>
                <w:color w:val="000000"/>
                <w:kern w:val="0"/>
                <w:sz w:val="20"/>
                <w:szCs w:val="20"/>
                <w:lang w:val="en-US" w:eastAsia="zh-CN"/>
              </w:rPr>
              <w:t>528000</w:t>
            </w:r>
          </w:p>
        </w:tc>
        <w:tc>
          <w:tcPr>
            <w:tcW w:w="4480"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szCs w:val="20"/>
              </w:rPr>
            </w:pPr>
            <w:r>
              <w:rPr>
                <w:rFonts w:hint="eastAsia" w:ascii="宋体" w:hAnsi="宋体" w:cs="宋体"/>
                <w:color w:val="000000"/>
                <w:kern w:val="0"/>
                <w:sz w:val="20"/>
                <w:szCs w:val="20"/>
              </w:rPr>
              <w:t>宣传党的纪检工作方针、政策，教育纪检干部遵守和执行党章以及党内法规、党的路线方针政策和决议、国家法规等，全面提高纪检监察干部队伍素质。</w:t>
            </w:r>
          </w:p>
        </w:tc>
        <w:tc>
          <w:tcPr>
            <w:tcW w:w="3680"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szCs w:val="20"/>
              </w:rPr>
            </w:pPr>
            <w:r>
              <w:rPr>
                <w:rFonts w:hint="eastAsia" w:ascii="宋体" w:hAnsi="宋体" w:cs="宋体"/>
                <w:color w:val="000000"/>
                <w:kern w:val="0"/>
                <w:sz w:val="20"/>
                <w:szCs w:val="20"/>
              </w:rPr>
              <w:t>巡视监督常态化、全覆盖。</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巡视工作完成率</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100%</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≥80%</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≥60%</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&lt;40%</w:t>
            </w:r>
          </w:p>
        </w:tc>
      </w:tr>
      <w:tr>
        <w:tblPrEx>
          <w:tblLayout w:type="fixed"/>
          <w:tblCellMar>
            <w:top w:w="0" w:type="dxa"/>
            <w:left w:w="108" w:type="dxa"/>
            <w:bottom w:w="0" w:type="dxa"/>
            <w:right w:w="108" w:type="dxa"/>
          </w:tblCellMar>
        </w:tblPrEx>
        <w:trPr>
          <w:gridAfter w:val="9"/>
          <w:wAfter w:w="14656" w:type="dxa"/>
          <w:trHeight w:val="840" w:hRule="atLeast"/>
        </w:trPr>
        <w:tc>
          <w:tcPr>
            <w:tcW w:w="127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b/>
                <w:bCs/>
                <w:color w:val="000000"/>
                <w:kern w:val="0"/>
                <w:sz w:val="20"/>
                <w:szCs w:val="20"/>
              </w:rPr>
            </w:pPr>
            <w:r>
              <w:rPr>
                <w:rFonts w:hint="eastAsia" w:ascii="宋体" w:hAnsi="宋体" w:cs="宋体"/>
                <w:color w:val="000000"/>
                <w:kern w:val="0"/>
                <w:sz w:val="20"/>
                <w:szCs w:val="20"/>
              </w:rPr>
              <w:t>执纪监督</w:t>
            </w:r>
          </w:p>
        </w:tc>
        <w:tc>
          <w:tcPr>
            <w:tcW w:w="1260" w:type="dxa"/>
            <w:tcBorders>
              <w:top w:val="nil"/>
              <w:left w:val="nil"/>
              <w:bottom w:val="single" w:color="auto" w:sz="4" w:space="0"/>
              <w:right w:val="single" w:color="auto" w:sz="4" w:space="0"/>
            </w:tcBorders>
            <w:vAlign w:val="center"/>
          </w:tcPr>
          <w:p>
            <w:pPr>
              <w:widowControl/>
              <w:spacing w:line="240" w:lineRule="exact"/>
              <w:jc w:val="center"/>
              <w:rPr>
                <w:rFonts w:ascii="宋体" w:cs="宋体"/>
                <w:b/>
                <w:bCs/>
                <w:color w:val="000000"/>
                <w:kern w:val="0"/>
                <w:sz w:val="20"/>
                <w:szCs w:val="20"/>
              </w:rPr>
            </w:pPr>
            <w:r>
              <w:rPr>
                <w:rFonts w:hint="eastAsia" w:ascii="宋体" w:hAnsi="宋体" w:cs="宋体"/>
                <w:b/>
                <w:bCs/>
                <w:color w:val="000000"/>
                <w:kern w:val="0"/>
                <w:sz w:val="20"/>
                <w:szCs w:val="20"/>
              </w:rPr>
              <w:t>　</w:t>
            </w:r>
          </w:p>
        </w:tc>
        <w:tc>
          <w:tcPr>
            <w:tcW w:w="4480"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szCs w:val="20"/>
              </w:rPr>
            </w:pPr>
            <w:r>
              <w:rPr>
                <w:rFonts w:hint="eastAsia" w:ascii="宋体" w:hAnsi="宋体" w:cs="宋体"/>
                <w:color w:val="000000"/>
                <w:kern w:val="0"/>
                <w:sz w:val="20"/>
                <w:szCs w:val="20"/>
              </w:rPr>
              <w:t>监督检查党内法规政策、国家法律法规、党风廉政建设等的执行情况，确保政令畅通。</w:t>
            </w:r>
          </w:p>
        </w:tc>
        <w:tc>
          <w:tcPr>
            <w:tcW w:w="3680"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szCs w:val="20"/>
              </w:rPr>
            </w:pPr>
            <w:r>
              <w:rPr>
                <w:rFonts w:hint="eastAsia" w:ascii="宋体" w:hAnsi="宋体" w:cs="宋体"/>
                <w:color w:val="000000"/>
                <w:kern w:val="0"/>
                <w:sz w:val="20"/>
                <w:szCs w:val="20"/>
              </w:rPr>
              <w:t>保障党纪法规、决策部署落实到位。</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　县委、政府工作落实率</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100%</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≥80%</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≥60%</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&lt;40%</w:t>
            </w:r>
          </w:p>
        </w:tc>
      </w:tr>
      <w:tr>
        <w:tblPrEx>
          <w:tblLayout w:type="fixed"/>
          <w:tblCellMar>
            <w:top w:w="0" w:type="dxa"/>
            <w:left w:w="108" w:type="dxa"/>
            <w:bottom w:w="0" w:type="dxa"/>
            <w:right w:w="108" w:type="dxa"/>
          </w:tblCellMar>
        </w:tblPrEx>
        <w:trPr>
          <w:gridAfter w:val="9"/>
          <w:wAfter w:w="14656" w:type="dxa"/>
          <w:trHeight w:val="750" w:hRule="atLeast"/>
        </w:trPr>
        <w:tc>
          <w:tcPr>
            <w:tcW w:w="127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作风建设</w:t>
            </w:r>
          </w:p>
        </w:tc>
        <w:tc>
          <w:tcPr>
            <w:tcW w:w="1260" w:type="dxa"/>
            <w:tcBorders>
              <w:top w:val="nil"/>
              <w:left w:val="nil"/>
              <w:bottom w:val="single" w:color="auto" w:sz="4" w:space="0"/>
              <w:right w:val="single" w:color="auto" w:sz="4" w:space="0"/>
            </w:tcBorders>
            <w:vAlign w:val="center"/>
          </w:tcPr>
          <w:p>
            <w:pPr>
              <w:widowControl/>
              <w:spacing w:line="240" w:lineRule="exact"/>
              <w:jc w:val="both"/>
              <w:rPr>
                <w:rFonts w:hint="default" w:ascii="宋体" w:eastAsia="宋体" w:cs="宋体"/>
                <w:color w:val="000000"/>
                <w:kern w:val="0"/>
                <w:sz w:val="20"/>
                <w:szCs w:val="20"/>
                <w:lang w:val="en-US" w:eastAsia="zh-CN"/>
              </w:rPr>
            </w:pPr>
          </w:p>
        </w:tc>
        <w:tc>
          <w:tcPr>
            <w:tcW w:w="4480"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szCs w:val="20"/>
              </w:rPr>
            </w:pPr>
            <w:r>
              <w:rPr>
                <w:rFonts w:hint="eastAsia" w:ascii="宋体" w:hAnsi="宋体" w:cs="宋体"/>
                <w:color w:val="000000"/>
                <w:kern w:val="0"/>
                <w:sz w:val="20"/>
                <w:szCs w:val="20"/>
              </w:rPr>
              <w:t>建立健全常态化监督机制，抓住关键时间节点，加强对“四风”明察暗访，坚决防止作风反弹和松懈。</w:t>
            </w:r>
          </w:p>
        </w:tc>
        <w:tc>
          <w:tcPr>
            <w:tcW w:w="3680"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szCs w:val="20"/>
              </w:rPr>
            </w:pPr>
            <w:r>
              <w:rPr>
                <w:rFonts w:hint="eastAsia" w:ascii="宋体" w:hAnsi="宋体" w:cs="宋体"/>
                <w:color w:val="000000"/>
                <w:kern w:val="0"/>
                <w:sz w:val="20"/>
                <w:szCs w:val="20"/>
              </w:rPr>
              <w:t>营造风清气正、干事创业的工作作风</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明察暗访次数</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100%</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≥80%</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≥60%</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&lt;40%</w:t>
            </w:r>
          </w:p>
        </w:tc>
      </w:tr>
      <w:tr>
        <w:tblPrEx>
          <w:tblLayout w:type="fixed"/>
          <w:tblCellMar>
            <w:top w:w="0" w:type="dxa"/>
            <w:left w:w="108" w:type="dxa"/>
            <w:bottom w:w="0" w:type="dxa"/>
            <w:right w:w="108" w:type="dxa"/>
          </w:tblCellMar>
        </w:tblPrEx>
        <w:trPr>
          <w:gridAfter w:val="9"/>
          <w:wAfter w:w="14656" w:type="dxa"/>
          <w:trHeight w:val="930" w:hRule="atLeast"/>
        </w:trPr>
        <w:tc>
          <w:tcPr>
            <w:tcW w:w="127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b/>
                <w:bCs/>
                <w:color w:val="000000"/>
                <w:kern w:val="0"/>
                <w:sz w:val="20"/>
                <w:szCs w:val="20"/>
              </w:rPr>
            </w:pPr>
            <w:r>
              <w:rPr>
                <w:rFonts w:hint="eastAsia" w:ascii="宋体" w:hAnsi="宋体" w:cs="宋体"/>
                <w:color w:val="000000"/>
                <w:kern w:val="0"/>
                <w:sz w:val="20"/>
                <w:szCs w:val="20"/>
              </w:rPr>
              <w:t>县级巡察</w:t>
            </w:r>
          </w:p>
        </w:tc>
        <w:tc>
          <w:tcPr>
            <w:tcW w:w="126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　</w:t>
            </w:r>
          </w:p>
        </w:tc>
        <w:tc>
          <w:tcPr>
            <w:tcW w:w="4480"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szCs w:val="20"/>
              </w:rPr>
            </w:pPr>
            <w:r>
              <w:rPr>
                <w:rFonts w:hint="eastAsia" w:ascii="宋体" w:hAnsi="宋体" w:cs="宋体"/>
                <w:color w:val="000000"/>
                <w:kern w:val="0"/>
                <w:sz w:val="20"/>
                <w:szCs w:val="20"/>
              </w:rPr>
              <w:t>做好上级巡视组的配合、协调、服务工作，县巡察小组对县级单位开展巡察工作。</w:t>
            </w:r>
          </w:p>
        </w:tc>
        <w:tc>
          <w:tcPr>
            <w:tcW w:w="3680"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szCs w:val="20"/>
              </w:rPr>
            </w:pPr>
            <w:r>
              <w:rPr>
                <w:rFonts w:hint="eastAsia" w:ascii="宋体" w:hAnsi="宋体" w:cs="宋体"/>
                <w:color w:val="000000"/>
                <w:kern w:val="0"/>
                <w:sz w:val="20"/>
                <w:szCs w:val="20"/>
              </w:rPr>
              <w:t>促进“两个责任”有效落实，重点解决单位严明党的纪律规矩、党风廉政建设、选拨任用干部上的不正之风</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巡察工作完成率　</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100%</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≥80%</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≥60%</w:t>
            </w:r>
          </w:p>
        </w:tc>
        <w:tc>
          <w:tcPr>
            <w:tcW w:w="74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&lt;40%</w:t>
            </w:r>
          </w:p>
        </w:tc>
      </w:tr>
      <w:tr>
        <w:tblPrEx>
          <w:tblLayout w:type="fixed"/>
          <w:tblCellMar>
            <w:top w:w="0" w:type="dxa"/>
            <w:left w:w="108" w:type="dxa"/>
            <w:bottom w:w="0" w:type="dxa"/>
            <w:right w:w="108" w:type="dxa"/>
          </w:tblCellMar>
        </w:tblPrEx>
        <w:trPr>
          <w:gridAfter w:val="9"/>
          <w:wAfter w:w="14656" w:type="dxa"/>
          <w:trHeight w:val="550" w:hRule="atLeast"/>
        </w:trPr>
        <w:tc>
          <w:tcPr>
            <w:tcW w:w="127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kern w:val="0"/>
                <w:sz w:val="20"/>
                <w:szCs w:val="20"/>
              </w:rPr>
            </w:pPr>
            <w:r>
              <w:rPr>
                <w:rFonts w:hint="eastAsia" w:ascii="Times New Roman" w:hAnsi="Times New Roman"/>
                <w:b/>
                <w:bCs/>
                <w:color w:val="000000"/>
                <w:kern w:val="0"/>
                <w:sz w:val="20"/>
                <w:szCs w:val="20"/>
                <w:lang w:eastAsia="zh-CN"/>
              </w:rPr>
              <w:t>四</w:t>
            </w:r>
            <w:r>
              <w:rPr>
                <w:rFonts w:hint="eastAsia" w:ascii="Times New Roman" w:hAnsi="Times New Roman"/>
                <w:b/>
                <w:bCs/>
                <w:color w:val="000000"/>
                <w:kern w:val="0"/>
                <w:sz w:val="20"/>
                <w:szCs w:val="20"/>
              </w:rPr>
              <w:t>、监督检查</w:t>
            </w:r>
          </w:p>
        </w:tc>
        <w:tc>
          <w:tcPr>
            <w:tcW w:w="126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4480"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监督检查党内法规政策、国家法律法规、党风廉政建设等的执行情况；履行县政府纠正行业不正之风办公室职能；贯彻落实县委有关部署，开展常态化全覆盖监督。</w:t>
            </w:r>
          </w:p>
        </w:tc>
        <w:tc>
          <w:tcPr>
            <w:tcW w:w="3680" w:type="dxa"/>
            <w:tcBorders>
              <w:top w:val="nil"/>
              <w:left w:val="nil"/>
              <w:bottom w:val="single" w:color="auto" w:sz="4" w:space="0"/>
              <w:right w:val="single" w:color="auto" w:sz="4" w:space="0"/>
            </w:tcBorders>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加大问责力度，促进“两个责任”有效落实。</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0"/>
                <w:szCs w:val="20"/>
              </w:rPr>
            </w:pP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20"/>
                <w:szCs w:val="20"/>
              </w:rPr>
            </w:pP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20"/>
                <w:szCs w:val="20"/>
              </w:rPr>
            </w:pP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20"/>
                <w:szCs w:val="20"/>
              </w:rPr>
            </w:pP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9"/>
          <w:wAfter w:w="14656" w:type="dxa"/>
          <w:trHeight w:val="550" w:hRule="atLeast"/>
        </w:trPr>
        <w:tc>
          <w:tcPr>
            <w:tcW w:w="1272"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20"/>
                <w:szCs w:val="20"/>
              </w:rPr>
            </w:pPr>
            <w:r>
              <w:rPr>
                <w:rFonts w:hint="eastAsia" w:ascii="宋体" w:hAnsi="宋体" w:cs="宋体"/>
                <w:kern w:val="0"/>
                <w:sz w:val="20"/>
                <w:szCs w:val="20"/>
              </w:rPr>
              <w:t>监督检查</w:t>
            </w:r>
          </w:p>
        </w:tc>
        <w:tc>
          <w:tcPr>
            <w:tcW w:w="126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 w:val="20"/>
                <w:szCs w:val="20"/>
              </w:rPr>
            </w:pPr>
          </w:p>
        </w:tc>
        <w:tc>
          <w:tcPr>
            <w:tcW w:w="4480"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贯彻落实县委有关部署，开展常态化全覆盖监督有关工作；做好有关服务保障工作。</w:t>
            </w:r>
          </w:p>
        </w:tc>
        <w:tc>
          <w:tcPr>
            <w:tcW w:w="3680"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 w:val="20"/>
                <w:szCs w:val="20"/>
              </w:rPr>
            </w:pPr>
            <w:r>
              <w:rPr>
                <w:rFonts w:hint="eastAsia" w:ascii="宋体" w:hAnsi="宋体" w:cs="宋体"/>
                <w:kern w:val="0"/>
                <w:sz w:val="20"/>
                <w:szCs w:val="20"/>
              </w:rPr>
              <w:t>实现监督全覆盖，日常监督常态化，专项监督制度化规范化。</w:t>
            </w:r>
          </w:p>
        </w:tc>
        <w:tc>
          <w:tcPr>
            <w:tcW w:w="1000" w:type="dxa"/>
            <w:tcBorders>
              <w:top w:val="nil"/>
              <w:left w:val="nil"/>
              <w:bottom w:val="single" w:color="auto" w:sz="4" w:space="0"/>
              <w:right w:val="single" w:color="auto" w:sz="4" w:space="0"/>
            </w:tcBorders>
            <w:vAlign w:val="center"/>
          </w:tcPr>
          <w:p>
            <w:pPr>
              <w:widowControl/>
              <w:spacing w:line="240" w:lineRule="exact"/>
              <w:jc w:val="center"/>
              <w:rPr>
                <w:rFonts w:ascii="宋体" w:cs="宋体"/>
                <w:color w:val="000000"/>
                <w:kern w:val="0"/>
                <w:sz w:val="20"/>
                <w:szCs w:val="20"/>
              </w:rPr>
            </w:pPr>
            <w:r>
              <w:rPr>
                <w:rFonts w:hint="eastAsia" w:ascii="宋体" w:hAnsi="宋体" w:cs="宋体"/>
                <w:color w:val="000000"/>
                <w:kern w:val="0"/>
                <w:sz w:val="20"/>
                <w:szCs w:val="20"/>
              </w:rPr>
              <w:t>监督检查工作完成率</w:t>
            </w: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szCs w:val="20"/>
              </w:rPr>
            </w:pPr>
            <w:r>
              <w:rPr>
                <w:rFonts w:hint="eastAsia" w:ascii="宋体" w:hAnsi="宋体" w:cs="宋体"/>
                <w:color w:val="000000"/>
                <w:kern w:val="0"/>
                <w:sz w:val="20"/>
                <w:szCs w:val="20"/>
              </w:rPr>
              <w:t>≥90%</w:t>
            </w: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szCs w:val="20"/>
              </w:rPr>
            </w:pPr>
            <w:r>
              <w:rPr>
                <w:rFonts w:hint="eastAsia" w:ascii="宋体" w:hAnsi="宋体" w:cs="宋体"/>
                <w:color w:val="000000"/>
                <w:kern w:val="0"/>
                <w:sz w:val="20"/>
                <w:szCs w:val="20"/>
              </w:rPr>
              <w:t>≥80%</w:t>
            </w: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szCs w:val="20"/>
              </w:rPr>
            </w:pPr>
            <w:r>
              <w:rPr>
                <w:rFonts w:hint="eastAsia" w:ascii="宋体" w:hAnsi="宋体" w:cs="宋体"/>
                <w:color w:val="000000"/>
                <w:kern w:val="0"/>
                <w:sz w:val="20"/>
                <w:szCs w:val="20"/>
              </w:rPr>
              <w:t>≥70%</w:t>
            </w:r>
          </w:p>
        </w:tc>
        <w:tc>
          <w:tcPr>
            <w:tcW w:w="740" w:type="dxa"/>
            <w:tcBorders>
              <w:top w:val="nil"/>
              <w:left w:val="nil"/>
              <w:bottom w:val="single" w:color="auto" w:sz="4" w:space="0"/>
              <w:right w:val="single" w:color="auto" w:sz="4" w:space="0"/>
            </w:tcBorders>
            <w:vAlign w:val="center"/>
          </w:tcPr>
          <w:p>
            <w:pPr>
              <w:widowControl/>
              <w:spacing w:line="240" w:lineRule="exact"/>
              <w:jc w:val="left"/>
              <w:rPr>
                <w:rFonts w:ascii="宋体" w:cs="宋体"/>
                <w:color w:val="000000"/>
                <w:kern w:val="0"/>
                <w:sz w:val="20"/>
                <w:szCs w:val="20"/>
              </w:rPr>
            </w:pPr>
            <w:r>
              <w:rPr>
                <w:rFonts w:hint="eastAsia" w:ascii="宋体" w:hAnsi="宋体" w:cs="宋体"/>
                <w:color w:val="000000"/>
                <w:kern w:val="0"/>
                <w:sz w:val="20"/>
                <w:szCs w:val="20"/>
              </w:rPr>
              <w:t>&lt;70%</w:t>
            </w:r>
          </w:p>
        </w:tc>
      </w:tr>
      <w:tr>
        <w:tblPrEx>
          <w:tblLayout w:type="fixed"/>
          <w:tblCellMar>
            <w:top w:w="0" w:type="dxa"/>
            <w:left w:w="108" w:type="dxa"/>
            <w:bottom w:w="0" w:type="dxa"/>
            <w:right w:w="108" w:type="dxa"/>
          </w:tblCellMar>
        </w:tblPrEx>
        <w:trPr>
          <w:gridAfter w:val="9"/>
          <w:wAfter w:w="14656" w:type="dxa"/>
          <w:trHeight w:val="550" w:hRule="atLeast"/>
        </w:trPr>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kern w:val="0"/>
                <w:sz w:val="20"/>
                <w:szCs w:val="20"/>
              </w:rPr>
            </w:pPr>
            <w:r>
              <w:rPr>
                <w:rFonts w:hint="eastAsia" w:ascii="Times New Roman" w:hAnsi="Times New Roman"/>
                <w:b/>
                <w:bCs/>
                <w:color w:val="000000"/>
                <w:kern w:val="0"/>
                <w:sz w:val="20"/>
                <w:szCs w:val="20"/>
                <w:lang w:eastAsia="zh-CN"/>
              </w:rPr>
              <w:t>五、</w:t>
            </w:r>
            <w:r>
              <w:rPr>
                <w:rFonts w:hint="eastAsia" w:ascii="Times New Roman" w:hAnsi="Times New Roman"/>
                <w:b/>
                <w:bCs/>
                <w:color w:val="000000"/>
                <w:kern w:val="0"/>
                <w:sz w:val="20"/>
                <w:szCs w:val="20"/>
              </w:rPr>
              <w:t>执纪监督</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20"/>
                <w:szCs w:val="20"/>
              </w:rPr>
            </w:pPr>
          </w:p>
        </w:tc>
        <w:tc>
          <w:tcPr>
            <w:tcW w:w="44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监督检查党内法规政策、国家法律法规、党风廉政建设等的执行情况；履行县政府纠正行业不正之风办公室职能；贯彻落实县委有关部署，开展常态化全覆盖监督。</w:t>
            </w:r>
          </w:p>
        </w:tc>
        <w:tc>
          <w:tcPr>
            <w:tcW w:w="36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加强日常监督、专项监督，发现纪委问题线索，促进“两个责任”有效落实。</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0"/>
                <w:szCs w:val="20"/>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cs="宋体"/>
                <w:color w:val="000000"/>
                <w:kern w:val="0"/>
                <w:sz w:val="20"/>
                <w:szCs w:val="20"/>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cs="宋体"/>
                <w:color w:val="000000"/>
                <w:kern w:val="0"/>
                <w:sz w:val="20"/>
                <w:szCs w:val="20"/>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cs="宋体"/>
                <w:color w:val="000000"/>
                <w:kern w:val="0"/>
                <w:sz w:val="20"/>
                <w:szCs w:val="20"/>
              </w:rPr>
            </w:pP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9"/>
          <w:wAfter w:w="14656" w:type="dxa"/>
          <w:trHeight w:val="550" w:hRule="atLeast"/>
        </w:trPr>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kern w:val="0"/>
                <w:sz w:val="20"/>
                <w:szCs w:val="20"/>
              </w:rPr>
            </w:pPr>
            <w:r>
              <w:rPr>
                <w:rFonts w:hint="eastAsia" w:ascii="宋体" w:hAnsi="宋体" w:cs="宋体"/>
                <w:kern w:val="0"/>
                <w:sz w:val="20"/>
                <w:szCs w:val="20"/>
              </w:rPr>
              <w:t>专项监督</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20"/>
                <w:szCs w:val="20"/>
              </w:rPr>
            </w:pPr>
          </w:p>
        </w:tc>
        <w:tc>
          <w:tcPr>
            <w:tcW w:w="44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对县直部门、乡镇进行专项监督检查，监督检查党内法规政策、国家法律法规、党风廉政建设等的执行情况，确保政令畅通。</w:t>
            </w:r>
          </w:p>
        </w:tc>
        <w:tc>
          <w:tcPr>
            <w:tcW w:w="368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cs="宋体"/>
                <w:kern w:val="0"/>
                <w:sz w:val="20"/>
                <w:szCs w:val="20"/>
              </w:rPr>
            </w:pPr>
            <w:r>
              <w:rPr>
                <w:rFonts w:hint="eastAsia" w:ascii="宋体" w:hAnsi="宋体" w:cs="宋体"/>
                <w:kern w:val="0"/>
                <w:sz w:val="20"/>
                <w:szCs w:val="20"/>
              </w:rPr>
              <w:t>保障党纪法规、决策部署落实到位</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发现问题线索数</w:t>
            </w: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100%</w:t>
            </w: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≥80%</w:t>
            </w: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≥60%</w:t>
            </w:r>
          </w:p>
        </w:tc>
        <w:tc>
          <w:tcPr>
            <w:tcW w:w="7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color w:val="000000"/>
                <w:kern w:val="0"/>
                <w:sz w:val="20"/>
                <w:szCs w:val="20"/>
              </w:rPr>
            </w:pPr>
            <w:r>
              <w:rPr>
                <w:rFonts w:hint="eastAsia" w:ascii="宋体" w:hAnsi="宋体" w:cs="宋体"/>
                <w:color w:val="000000"/>
                <w:kern w:val="0"/>
                <w:sz w:val="20"/>
                <w:szCs w:val="20"/>
              </w:rPr>
              <w:t>&lt;40%</w:t>
            </w:r>
          </w:p>
        </w:tc>
      </w:tr>
    </w:tbl>
    <w:p>
      <w:pPr>
        <w:jc w:val="left"/>
        <w:outlineLvl w:val="0"/>
        <w:rPr>
          <w:rFonts w:ascii="楷体" w:hAnsi="楷体" w:eastAsia="楷体" w:cs="楷体"/>
          <w:b/>
          <w:sz w:val="32"/>
          <w:szCs w:val="32"/>
        </w:rPr>
      </w:pPr>
      <w:r>
        <w:rPr>
          <w:rFonts w:ascii="楷体" w:hAnsi="楷体" w:eastAsia="楷体" w:cs="楷体"/>
          <w:b/>
          <w:sz w:val="32"/>
          <w:szCs w:val="32"/>
        </w:rPr>
        <w:t xml:space="preserve">  </w:t>
      </w:r>
      <w:bookmarkEnd w:id="0"/>
      <w:r>
        <w:rPr>
          <w:rFonts w:ascii="楷体" w:hAnsi="楷体" w:eastAsia="楷体" w:cs="楷体"/>
          <w:b/>
          <w:sz w:val="32"/>
          <w:szCs w:val="32"/>
        </w:rPr>
        <w:t xml:space="preserve"> </w:t>
      </w:r>
    </w:p>
    <w:p>
      <w:pPr>
        <w:jc w:val="left"/>
        <w:outlineLvl w:val="0"/>
        <w:rPr>
          <w:rFonts w:ascii="黑体" w:hAnsi="黑体" w:eastAsia="黑体" w:cs="楷体"/>
          <w:bCs/>
          <w:sz w:val="32"/>
          <w:szCs w:val="32"/>
        </w:rPr>
      </w:pPr>
      <w:r>
        <w:rPr>
          <w:rFonts w:ascii="楷体" w:hAnsi="楷体" w:eastAsia="楷体" w:cs="楷体"/>
          <w:b/>
          <w:sz w:val="32"/>
          <w:szCs w:val="32"/>
        </w:rPr>
        <w:t xml:space="preserve"> </w:t>
      </w:r>
      <w:r>
        <w:rPr>
          <w:rFonts w:hint="eastAsia" w:ascii="黑体" w:hAnsi="黑体" w:eastAsia="黑体" w:cs="楷体"/>
          <w:bCs/>
          <w:sz w:val="32"/>
          <w:szCs w:val="32"/>
        </w:rPr>
        <w:t>六、政府采购预算情况</w:t>
      </w:r>
    </w:p>
    <w:p>
      <w:pPr>
        <w:spacing w:line="560" w:lineRule="exact"/>
        <w:ind w:firstLine="716" w:firstLineChars="224"/>
        <w:rPr>
          <w:rFonts w:ascii="仿宋" w:hAnsi="仿宋" w:eastAsia="仿宋"/>
          <w:b/>
          <w:color w:val="FF0000"/>
          <w:sz w:val="32"/>
          <w:szCs w:val="32"/>
        </w:rPr>
      </w:pPr>
      <w:r>
        <w:rPr>
          <w:rFonts w:ascii="仿宋" w:hAnsi="仿宋" w:eastAsia="仿宋"/>
          <w:sz w:val="32"/>
          <w:szCs w:val="32"/>
        </w:rPr>
        <w:t>2</w:t>
      </w:r>
      <w:r>
        <w:rPr>
          <w:rFonts w:hint="eastAsia" w:ascii="仿宋" w:hAnsi="仿宋" w:eastAsia="仿宋"/>
          <w:sz w:val="32"/>
          <w:szCs w:val="32"/>
          <w:lang w:val="en-US" w:eastAsia="zh-CN"/>
        </w:rPr>
        <w:t>020</w:t>
      </w:r>
      <w:r>
        <w:rPr>
          <w:rFonts w:hint="eastAsia" w:ascii="仿宋" w:hAnsi="仿宋" w:eastAsia="仿宋"/>
          <w:sz w:val="32"/>
          <w:szCs w:val="32"/>
        </w:rPr>
        <w:t>年我单位未安排政府采购事宜。</w:t>
      </w:r>
      <w:bookmarkStart w:id="1" w:name="_GoBack"/>
      <w:bookmarkEnd w:id="1"/>
    </w:p>
    <w:p>
      <w:pPr>
        <w:autoSpaceDE w:val="0"/>
        <w:autoSpaceDN w:val="0"/>
        <w:adjustRightInd w:val="0"/>
        <w:ind w:firstLine="645"/>
        <w:jc w:val="left"/>
        <w:rPr>
          <w:rFonts w:ascii="黑体" w:hAnsi="黑体" w:eastAsia="黑体" w:cs="楷体"/>
          <w:bCs/>
          <w:sz w:val="32"/>
          <w:szCs w:val="32"/>
        </w:rPr>
      </w:pPr>
      <w:r>
        <w:rPr>
          <w:rFonts w:hint="eastAsia" w:ascii="黑体" w:hAnsi="黑体" w:eastAsia="黑体" w:cs="楷体"/>
          <w:bCs/>
          <w:sz w:val="32"/>
          <w:szCs w:val="32"/>
        </w:rPr>
        <w:t>七、国有资产信息</w:t>
      </w:r>
    </w:p>
    <w:p>
      <w:pPr>
        <w:spacing w:line="560" w:lineRule="exact"/>
        <w:ind w:firstLine="716" w:firstLineChars="224"/>
        <w:rPr>
          <w:rFonts w:ascii="仿宋" w:hAnsi="仿宋" w:eastAsia="仿宋"/>
          <w:sz w:val="32"/>
        </w:rPr>
      </w:pPr>
      <w:r>
        <w:rPr>
          <w:rFonts w:hint="eastAsia" w:ascii="仿宋" w:hAnsi="仿宋" w:eastAsia="仿宋"/>
          <w:sz w:val="32"/>
        </w:rPr>
        <w:t>截止</w:t>
      </w:r>
      <w:r>
        <w:rPr>
          <w:rFonts w:ascii="仿宋" w:hAnsi="仿宋" w:eastAsia="仿宋"/>
          <w:sz w:val="32"/>
        </w:rPr>
        <w:t>201</w:t>
      </w:r>
      <w:r>
        <w:rPr>
          <w:rFonts w:hint="eastAsia" w:ascii="仿宋" w:hAnsi="仿宋" w:eastAsia="仿宋"/>
          <w:sz w:val="32"/>
          <w:lang w:val="en-US" w:eastAsia="zh-CN"/>
        </w:rPr>
        <w:t>9</w:t>
      </w:r>
      <w:r>
        <w:rPr>
          <w:rFonts w:hint="eastAsia" w:ascii="仿宋" w:hAnsi="仿宋" w:eastAsia="仿宋"/>
          <w:sz w:val="32"/>
        </w:rPr>
        <w:t>年末，我单位固定资产总额为</w:t>
      </w:r>
      <w:r>
        <w:rPr>
          <w:rFonts w:hint="eastAsia" w:ascii="仿宋" w:hAnsi="仿宋" w:eastAsia="仿宋"/>
          <w:sz w:val="32"/>
          <w:lang w:val="en-US" w:eastAsia="zh-CN"/>
        </w:rPr>
        <w:t>216.12</w:t>
      </w:r>
      <w:r>
        <w:rPr>
          <w:rFonts w:hint="eastAsia" w:ascii="仿宋" w:hAnsi="仿宋" w:eastAsia="仿宋"/>
          <w:sz w:val="32"/>
        </w:rPr>
        <w:t>万元，资产情况见下表。</w:t>
      </w:r>
      <w:r>
        <w:rPr>
          <w:rFonts w:ascii="仿宋_GB2312" w:hAnsi="仿宋_GB2312" w:eastAsia="仿宋_GB2312"/>
          <w:color w:val="000000"/>
          <w:sz w:val="32"/>
        </w:rPr>
        <w:t xml:space="preserve"> </w:t>
      </w:r>
    </w:p>
    <w:tbl>
      <w:tblPr>
        <w:tblStyle w:val="8"/>
        <w:tblpPr w:leftFromText="180" w:rightFromText="180" w:vertAnchor="text" w:horzAnchor="margin" w:tblpXSpec="center" w:tblpY="227"/>
        <w:tblW w:w="12180" w:type="dxa"/>
        <w:tblInd w:w="0" w:type="dxa"/>
        <w:tblLayout w:type="fixed"/>
        <w:tblCellMar>
          <w:top w:w="0" w:type="dxa"/>
          <w:left w:w="108" w:type="dxa"/>
          <w:bottom w:w="0" w:type="dxa"/>
          <w:right w:w="108" w:type="dxa"/>
        </w:tblCellMar>
      </w:tblPr>
      <w:tblGrid>
        <w:gridCol w:w="5985"/>
        <w:gridCol w:w="436"/>
        <w:gridCol w:w="914"/>
        <w:gridCol w:w="1416"/>
        <w:gridCol w:w="3429"/>
      </w:tblGrid>
      <w:tr>
        <w:tblPrEx>
          <w:tblLayout w:type="fixed"/>
          <w:tblCellMar>
            <w:top w:w="0" w:type="dxa"/>
            <w:left w:w="108" w:type="dxa"/>
            <w:bottom w:w="0" w:type="dxa"/>
            <w:right w:w="108" w:type="dxa"/>
          </w:tblCellMar>
        </w:tblPrEx>
        <w:trPr>
          <w:trHeight w:val="735" w:hRule="atLeast"/>
        </w:trPr>
        <w:tc>
          <w:tcPr>
            <w:tcW w:w="12180" w:type="dxa"/>
            <w:gridSpan w:val="5"/>
            <w:tcBorders>
              <w:top w:val="nil"/>
              <w:left w:val="nil"/>
              <w:bottom w:val="nil"/>
              <w:right w:val="nil"/>
            </w:tcBorders>
            <w:noWrap/>
            <w:vAlign w:val="bottom"/>
          </w:tcPr>
          <w:p>
            <w:pPr>
              <w:widowControl/>
              <w:jc w:val="center"/>
              <w:rPr>
                <w:rFonts w:ascii="宋体" w:cs="Arial"/>
                <w:color w:val="000000"/>
                <w:kern w:val="0"/>
                <w:sz w:val="44"/>
                <w:szCs w:val="44"/>
              </w:rPr>
            </w:pPr>
            <w:r>
              <w:rPr>
                <w:rFonts w:hint="eastAsia" w:ascii="宋体" w:hAnsi="宋体" w:cs="Arial"/>
                <w:color w:val="000000"/>
                <w:kern w:val="0"/>
                <w:sz w:val="44"/>
                <w:szCs w:val="44"/>
              </w:rPr>
              <w:t>资产情况表</w:t>
            </w:r>
          </w:p>
        </w:tc>
      </w:tr>
      <w:tr>
        <w:tblPrEx>
          <w:tblLayout w:type="fixed"/>
          <w:tblCellMar>
            <w:top w:w="0" w:type="dxa"/>
            <w:left w:w="108" w:type="dxa"/>
            <w:bottom w:w="0" w:type="dxa"/>
            <w:right w:w="108" w:type="dxa"/>
          </w:tblCellMar>
        </w:tblPrEx>
        <w:trPr>
          <w:trHeight w:val="255" w:hRule="atLeast"/>
        </w:trPr>
        <w:tc>
          <w:tcPr>
            <w:tcW w:w="5985" w:type="dxa"/>
            <w:tcBorders>
              <w:top w:val="nil"/>
              <w:left w:val="nil"/>
              <w:bottom w:val="nil"/>
              <w:right w:val="nil"/>
            </w:tcBorders>
            <w:noWrap/>
            <w:vAlign w:val="bottom"/>
          </w:tcPr>
          <w:p>
            <w:pPr>
              <w:widowControl/>
              <w:jc w:val="center"/>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center"/>
              <w:rPr>
                <w:rFonts w:ascii="Arial" w:hAnsi="Arial" w:cs="Arial"/>
                <w:color w:val="000000"/>
                <w:kern w:val="0"/>
                <w:sz w:val="20"/>
                <w:szCs w:val="20"/>
              </w:rPr>
            </w:pPr>
          </w:p>
        </w:tc>
        <w:tc>
          <w:tcPr>
            <w:tcW w:w="914" w:type="dxa"/>
            <w:tcBorders>
              <w:top w:val="nil"/>
              <w:left w:val="nil"/>
              <w:bottom w:val="nil"/>
              <w:right w:val="nil"/>
            </w:tcBorders>
            <w:noWrap/>
            <w:vAlign w:val="bottom"/>
          </w:tcPr>
          <w:p>
            <w:pPr>
              <w:widowControl/>
              <w:jc w:val="center"/>
              <w:rPr>
                <w:rFonts w:ascii="Arial" w:hAnsi="Arial" w:cs="Arial"/>
                <w:color w:val="000000"/>
                <w:kern w:val="0"/>
                <w:sz w:val="20"/>
                <w:szCs w:val="20"/>
              </w:rPr>
            </w:pPr>
          </w:p>
        </w:tc>
        <w:tc>
          <w:tcPr>
            <w:tcW w:w="1416" w:type="dxa"/>
            <w:tcBorders>
              <w:top w:val="nil"/>
              <w:left w:val="nil"/>
              <w:bottom w:val="nil"/>
              <w:right w:val="nil"/>
            </w:tcBorders>
            <w:noWrap/>
            <w:vAlign w:val="bottom"/>
          </w:tcPr>
          <w:p>
            <w:pPr>
              <w:widowControl/>
              <w:jc w:val="center"/>
              <w:rPr>
                <w:rFonts w:ascii="Arial" w:hAnsi="Arial" w:cs="Arial"/>
                <w:color w:val="000000"/>
                <w:kern w:val="0"/>
                <w:sz w:val="20"/>
                <w:szCs w:val="20"/>
              </w:rPr>
            </w:pPr>
          </w:p>
        </w:tc>
        <w:tc>
          <w:tcPr>
            <w:tcW w:w="3429" w:type="dxa"/>
            <w:tcBorders>
              <w:top w:val="nil"/>
              <w:left w:val="nil"/>
              <w:bottom w:val="nil"/>
              <w:right w:val="nil"/>
            </w:tcBorders>
            <w:noWrap/>
            <w:vAlign w:val="bottom"/>
          </w:tcPr>
          <w:p>
            <w:pPr>
              <w:widowControl/>
              <w:jc w:val="center"/>
              <w:rPr>
                <w:rFonts w:ascii="Arial" w:hAnsi="Arial" w:cs="Arial"/>
                <w:color w:val="000000"/>
                <w:kern w:val="0"/>
                <w:sz w:val="20"/>
                <w:szCs w:val="20"/>
              </w:rPr>
            </w:pPr>
          </w:p>
        </w:tc>
      </w:tr>
      <w:tr>
        <w:tblPrEx>
          <w:tblLayout w:type="fixed"/>
          <w:tblCellMar>
            <w:top w:w="0" w:type="dxa"/>
            <w:left w:w="108" w:type="dxa"/>
            <w:bottom w:w="0" w:type="dxa"/>
            <w:right w:w="108" w:type="dxa"/>
          </w:tblCellMar>
        </w:tblPrEx>
        <w:trPr>
          <w:trHeight w:val="315" w:hRule="atLeast"/>
        </w:trPr>
        <w:tc>
          <w:tcPr>
            <w:tcW w:w="5985" w:type="dxa"/>
            <w:tcBorders>
              <w:top w:val="nil"/>
              <w:left w:val="nil"/>
              <w:bottom w:val="nil"/>
              <w:right w:val="nil"/>
            </w:tcBorders>
            <w:noWrap/>
            <w:vAlign w:val="bottom"/>
          </w:tcPr>
          <w:p>
            <w:pPr>
              <w:widowControl/>
              <w:jc w:val="center"/>
              <w:rPr>
                <w:rFonts w:hint="eastAsia" w:ascii="宋体" w:eastAsia="宋体" w:cs="Arial"/>
                <w:color w:val="000000"/>
                <w:kern w:val="0"/>
                <w:sz w:val="24"/>
                <w:lang w:eastAsia="zh-CN"/>
              </w:rPr>
            </w:pPr>
            <w:r>
              <w:rPr>
                <w:rFonts w:hint="eastAsia" w:ascii="宋体" w:hAnsi="宋体" w:cs="Arial"/>
                <w:color w:val="000000"/>
                <w:kern w:val="0"/>
                <w:sz w:val="24"/>
              </w:rPr>
              <w:t>编制单位：</w:t>
            </w:r>
            <w:r>
              <w:rPr>
                <w:rFonts w:hint="eastAsia" w:ascii="宋体" w:hAnsi="宋体" w:cs="Arial"/>
                <w:color w:val="000000"/>
                <w:kern w:val="0"/>
                <w:sz w:val="24"/>
                <w:lang w:eastAsia="zh-CN"/>
              </w:rPr>
              <w:t>纪委</w:t>
            </w:r>
          </w:p>
        </w:tc>
        <w:tc>
          <w:tcPr>
            <w:tcW w:w="436" w:type="dxa"/>
            <w:tcBorders>
              <w:top w:val="nil"/>
              <w:left w:val="nil"/>
              <w:bottom w:val="nil"/>
              <w:right w:val="nil"/>
            </w:tcBorders>
            <w:noWrap/>
            <w:vAlign w:val="bottom"/>
          </w:tcPr>
          <w:p>
            <w:pPr>
              <w:widowControl/>
              <w:jc w:val="center"/>
              <w:rPr>
                <w:rFonts w:ascii="Arial" w:hAnsi="Arial" w:cs="Arial"/>
                <w:color w:val="000000"/>
                <w:kern w:val="0"/>
                <w:sz w:val="20"/>
                <w:szCs w:val="20"/>
              </w:rPr>
            </w:pPr>
          </w:p>
        </w:tc>
        <w:tc>
          <w:tcPr>
            <w:tcW w:w="914" w:type="dxa"/>
            <w:tcBorders>
              <w:top w:val="nil"/>
              <w:left w:val="nil"/>
              <w:bottom w:val="nil"/>
              <w:right w:val="nil"/>
            </w:tcBorders>
            <w:noWrap/>
            <w:vAlign w:val="bottom"/>
          </w:tcPr>
          <w:p>
            <w:pPr>
              <w:widowControl/>
              <w:jc w:val="center"/>
              <w:rPr>
                <w:rFonts w:ascii="Arial" w:hAnsi="Arial" w:cs="Arial"/>
                <w:color w:val="000000"/>
                <w:kern w:val="0"/>
                <w:sz w:val="20"/>
                <w:szCs w:val="20"/>
              </w:rPr>
            </w:pPr>
          </w:p>
        </w:tc>
        <w:tc>
          <w:tcPr>
            <w:tcW w:w="1416" w:type="dxa"/>
            <w:tcBorders>
              <w:top w:val="nil"/>
              <w:left w:val="nil"/>
              <w:bottom w:val="nil"/>
              <w:right w:val="nil"/>
            </w:tcBorders>
            <w:noWrap/>
            <w:vAlign w:val="bottom"/>
          </w:tcPr>
          <w:p>
            <w:pPr>
              <w:widowControl/>
              <w:jc w:val="center"/>
              <w:rPr>
                <w:rFonts w:ascii="宋体" w:cs="Arial"/>
                <w:color w:val="000000"/>
                <w:kern w:val="0"/>
                <w:sz w:val="24"/>
              </w:rPr>
            </w:pPr>
            <w:r>
              <w:rPr>
                <w:rFonts w:ascii="宋体" w:hAnsi="宋体" w:cs="Arial"/>
                <w:color w:val="000000"/>
                <w:kern w:val="0"/>
                <w:sz w:val="24"/>
              </w:rPr>
              <w:t>201</w:t>
            </w:r>
            <w:r>
              <w:rPr>
                <w:rFonts w:hint="eastAsia" w:ascii="宋体" w:hAnsi="宋体" w:cs="Arial"/>
                <w:color w:val="000000"/>
                <w:kern w:val="0"/>
                <w:sz w:val="24"/>
                <w:lang w:val="en-US" w:eastAsia="zh-CN"/>
              </w:rPr>
              <w:t>9</w:t>
            </w:r>
            <w:r>
              <w:rPr>
                <w:rFonts w:hint="eastAsia" w:ascii="宋体" w:hAnsi="宋体" w:cs="Arial"/>
                <w:color w:val="000000"/>
                <w:kern w:val="0"/>
                <w:sz w:val="24"/>
              </w:rPr>
              <w:t>年度</w:t>
            </w:r>
          </w:p>
        </w:tc>
        <w:tc>
          <w:tcPr>
            <w:tcW w:w="3429" w:type="dxa"/>
            <w:tcBorders>
              <w:top w:val="nil"/>
              <w:left w:val="nil"/>
              <w:bottom w:val="nil"/>
              <w:right w:val="nil"/>
            </w:tcBorders>
            <w:noWrap/>
            <w:vAlign w:val="bottom"/>
          </w:tcPr>
          <w:p>
            <w:pPr>
              <w:widowControl/>
              <w:jc w:val="center"/>
              <w:rPr>
                <w:rFonts w:ascii="宋体" w:cs="Arial"/>
                <w:color w:val="000000"/>
                <w:kern w:val="0"/>
                <w:sz w:val="24"/>
              </w:rPr>
            </w:pPr>
            <w:r>
              <w:rPr>
                <w:rFonts w:hint="eastAsia" w:ascii="宋体" w:hAnsi="宋体" w:cs="Arial"/>
                <w:color w:val="000000"/>
                <w:kern w:val="0"/>
                <w:sz w:val="24"/>
              </w:rPr>
              <w:t>金额单位：万元</w:t>
            </w:r>
          </w:p>
        </w:tc>
      </w:tr>
      <w:tr>
        <w:tblPrEx>
          <w:tblLayout w:type="fixed"/>
          <w:tblCellMar>
            <w:top w:w="0" w:type="dxa"/>
            <w:left w:w="108" w:type="dxa"/>
            <w:bottom w:w="0" w:type="dxa"/>
            <w:right w:w="108" w:type="dxa"/>
          </w:tblCellMar>
        </w:tblPrEx>
        <w:trPr>
          <w:trHeight w:val="402" w:hRule="atLeast"/>
        </w:trPr>
        <w:tc>
          <w:tcPr>
            <w:tcW w:w="5985" w:type="dxa"/>
            <w:vMerge w:val="restart"/>
            <w:tcBorders>
              <w:top w:val="single" w:color="000000" w:sz="8" w:space="0"/>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项　　目</w:t>
            </w:r>
          </w:p>
        </w:tc>
        <w:tc>
          <w:tcPr>
            <w:tcW w:w="1350" w:type="dxa"/>
            <w:gridSpan w:val="2"/>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数量</w:t>
            </w:r>
          </w:p>
        </w:tc>
        <w:tc>
          <w:tcPr>
            <w:tcW w:w="4845" w:type="dxa"/>
            <w:gridSpan w:val="2"/>
            <w:tcBorders>
              <w:top w:val="single" w:color="000000" w:sz="8" w:space="0"/>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价值</w:t>
            </w:r>
          </w:p>
        </w:tc>
      </w:tr>
      <w:tr>
        <w:tblPrEx>
          <w:tblLayout w:type="fixed"/>
          <w:tblCellMar>
            <w:top w:w="0" w:type="dxa"/>
            <w:left w:w="108" w:type="dxa"/>
            <w:bottom w:w="0" w:type="dxa"/>
            <w:right w:w="108" w:type="dxa"/>
          </w:tblCellMar>
        </w:tblPrEx>
        <w:trPr>
          <w:trHeight w:val="308" w:hRule="atLeast"/>
        </w:trPr>
        <w:tc>
          <w:tcPr>
            <w:tcW w:w="5985"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rPr>
            </w:pPr>
          </w:p>
        </w:tc>
        <w:tc>
          <w:tcPr>
            <w:tcW w:w="43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年初数</w:t>
            </w:r>
          </w:p>
        </w:tc>
        <w:tc>
          <w:tcPr>
            <w:tcW w:w="91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年末数</w:t>
            </w:r>
          </w:p>
        </w:tc>
        <w:tc>
          <w:tcPr>
            <w:tcW w:w="141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年初数</w:t>
            </w:r>
          </w:p>
        </w:tc>
        <w:tc>
          <w:tcPr>
            <w:tcW w:w="342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年末数</w:t>
            </w:r>
          </w:p>
        </w:tc>
      </w:tr>
      <w:tr>
        <w:tblPrEx>
          <w:tblLayout w:type="fixed"/>
          <w:tblCellMar>
            <w:top w:w="0" w:type="dxa"/>
            <w:left w:w="108" w:type="dxa"/>
            <w:bottom w:w="0" w:type="dxa"/>
            <w:right w:w="108" w:type="dxa"/>
          </w:tblCellMar>
        </w:tblPrEx>
        <w:trPr>
          <w:trHeight w:val="308" w:hRule="atLeast"/>
        </w:trPr>
        <w:tc>
          <w:tcPr>
            <w:tcW w:w="598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固定资产合计</w:t>
            </w:r>
          </w:p>
        </w:tc>
        <w:tc>
          <w:tcPr>
            <w:tcW w:w="43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w:t>
            </w:r>
          </w:p>
        </w:tc>
        <w:tc>
          <w:tcPr>
            <w:tcW w:w="914"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w:t>
            </w:r>
          </w:p>
        </w:tc>
        <w:tc>
          <w:tcPr>
            <w:tcW w:w="1416" w:type="dxa"/>
            <w:tcBorders>
              <w:top w:val="nil"/>
              <w:left w:val="nil"/>
              <w:bottom w:val="single" w:color="000000" w:sz="4" w:space="0"/>
              <w:right w:val="single" w:color="000000" w:sz="4" w:space="0"/>
            </w:tcBorders>
            <w:noWrap/>
            <w:vAlign w:val="center"/>
          </w:tcPr>
          <w:p>
            <w:pPr>
              <w:widowControl/>
              <w:jc w:val="center"/>
              <w:rPr>
                <w:rFonts w:hint="default" w:ascii="宋体" w:eastAsia="宋体" w:cs="Arial"/>
                <w:color w:val="000000"/>
                <w:kern w:val="0"/>
                <w:sz w:val="22"/>
                <w:lang w:val="en-US" w:eastAsia="zh-CN"/>
              </w:rPr>
            </w:pPr>
            <w:r>
              <w:rPr>
                <w:rFonts w:hint="eastAsia" w:ascii="宋体" w:cs="Arial"/>
                <w:color w:val="000000"/>
                <w:kern w:val="0"/>
                <w:sz w:val="22"/>
                <w:lang w:val="en-US" w:eastAsia="zh-CN"/>
              </w:rPr>
              <w:t>215.07</w:t>
            </w:r>
          </w:p>
        </w:tc>
        <w:tc>
          <w:tcPr>
            <w:tcW w:w="3429" w:type="dxa"/>
            <w:tcBorders>
              <w:top w:val="nil"/>
              <w:left w:val="nil"/>
              <w:bottom w:val="single" w:color="000000" w:sz="4" w:space="0"/>
              <w:right w:val="single" w:color="000000" w:sz="4" w:space="0"/>
            </w:tcBorders>
            <w:noWrap/>
            <w:vAlign w:val="center"/>
          </w:tcPr>
          <w:p>
            <w:pPr>
              <w:widowControl/>
              <w:jc w:val="center"/>
              <w:rPr>
                <w:rFonts w:hint="default" w:ascii="宋体" w:eastAsia="宋体" w:cs="Arial"/>
                <w:color w:val="000000"/>
                <w:kern w:val="0"/>
                <w:sz w:val="22"/>
                <w:lang w:val="en-US" w:eastAsia="zh-CN"/>
              </w:rPr>
            </w:pPr>
            <w:r>
              <w:rPr>
                <w:rFonts w:hint="eastAsia" w:ascii="宋体" w:hAnsi="宋体" w:cs="Arial"/>
                <w:color w:val="000000"/>
                <w:kern w:val="0"/>
                <w:sz w:val="22"/>
                <w:lang w:val="en-US" w:eastAsia="zh-CN"/>
              </w:rPr>
              <w:t>216.12</w:t>
            </w:r>
          </w:p>
        </w:tc>
      </w:tr>
      <w:tr>
        <w:tblPrEx>
          <w:tblLayout w:type="fixed"/>
          <w:tblCellMar>
            <w:top w:w="0" w:type="dxa"/>
            <w:left w:w="108" w:type="dxa"/>
            <w:bottom w:w="0" w:type="dxa"/>
            <w:right w:w="108" w:type="dxa"/>
          </w:tblCellMar>
        </w:tblPrEx>
        <w:trPr>
          <w:trHeight w:val="308" w:hRule="atLeast"/>
        </w:trPr>
        <w:tc>
          <w:tcPr>
            <w:tcW w:w="598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（一）房屋（平方米）</w:t>
            </w:r>
          </w:p>
        </w:tc>
        <w:tc>
          <w:tcPr>
            <w:tcW w:w="43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914"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141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3429"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598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1.</w:t>
            </w:r>
            <w:r>
              <w:rPr>
                <w:rFonts w:hint="eastAsia" w:ascii="宋体" w:hAnsi="宋体" w:cs="Arial"/>
                <w:color w:val="000000"/>
                <w:kern w:val="0"/>
                <w:sz w:val="22"/>
              </w:rPr>
              <w:t>办公用房</w:t>
            </w:r>
          </w:p>
        </w:tc>
        <w:tc>
          <w:tcPr>
            <w:tcW w:w="43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914"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141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3429"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598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2.</w:t>
            </w:r>
            <w:r>
              <w:rPr>
                <w:rFonts w:hint="eastAsia" w:ascii="宋体" w:hAnsi="宋体" w:cs="Arial"/>
                <w:color w:val="000000"/>
                <w:kern w:val="0"/>
                <w:sz w:val="22"/>
              </w:rPr>
              <w:t>业务用房</w:t>
            </w:r>
          </w:p>
        </w:tc>
        <w:tc>
          <w:tcPr>
            <w:tcW w:w="43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914"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141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3429"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598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3.</w:t>
            </w:r>
            <w:r>
              <w:rPr>
                <w:rFonts w:hint="eastAsia" w:ascii="宋体" w:hAnsi="宋体" w:cs="Arial"/>
                <w:color w:val="000000"/>
                <w:kern w:val="0"/>
                <w:sz w:val="22"/>
              </w:rPr>
              <w:t>其他（不含构筑物）</w:t>
            </w:r>
          </w:p>
        </w:tc>
        <w:tc>
          <w:tcPr>
            <w:tcW w:w="43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914"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141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3429"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598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（二）车辆（台、辆）</w:t>
            </w:r>
          </w:p>
        </w:tc>
        <w:tc>
          <w:tcPr>
            <w:tcW w:w="43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914"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141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3429"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598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1.</w:t>
            </w:r>
            <w:r>
              <w:rPr>
                <w:rFonts w:hint="eastAsia" w:ascii="宋体" w:hAnsi="宋体" w:cs="Arial"/>
                <w:color w:val="000000"/>
                <w:kern w:val="0"/>
                <w:sz w:val="22"/>
              </w:rPr>
              <w:t>轿车</w:t>
            </w:r>
          </w:p>
        </w:tc>
        <w:tc>
          <w:tcPr>
            <w:tcW w:w="436" w:type="dxa"/>
            <w:tcBorders>
              <w:top w:val="nil"/>
              <w:left w:val="nil"/>
              <w:bottom w:val="single" w:color="000000" w:sz="4" w:space="0"/>
              <w:right w:val="single" w:color="000000" w:sz="4" w:space="0"/>
            </w:tcBorders>
            <w:noWrap/>
            <w:vAlign w:val="center"/>
          </w:tcPr>
          <w:p>
            <w:pPr>
              <w:widowControl/>
              <w:jc w:val="center"/>
              <w:rPr>
                <w:rFonts w:hint="eastAsia" w:ascii="宋体" w:eastAsia="宋体" w:cs="Arial"/>
                <w:color w:val="000000"/>
                <w:kern w:val="0"/>
                <w:sz w:val="22"/>
                <w:lang w:eastAsia="zh-CN"/>
              </w:rPr>
            </w:pPr>
            <w:r>
              <w:rPr>
                <w:rFonts w:hint="eastAsia" w:ascii="宋体" w:hAnsi="宋体" w:cs="Arial"/>
                <w:color w:val="000000"/>
                <w:kern w:val="0"/>
                <w:sz w:val="22"/>
                <w:lang w:val="en-US" w:eastAsia="zh-CN"/>
              </w:rPr>
              <w:t>9</w:t>
            </w:r>
          </w:p>
        </w:tc>
        <w:tc>
          <w:tcPr>
            <w:tcW w:w="914" w:type="dxa"/>
            <w:tcBorders>
              <w:top w:val="nil"/>
              <w:left w:val="nil"/>
              <w:bottom w:val="single" w:color="000000" w:sz="4" w:space="0"/>
              <w:right w:val="single" w:color="000000" w:sz="4" w:space="0"/>
            </w:tcBorders>
            <w:noWrap/>
            <w:vAlign w:val="center"/>
          </w:tcPr>
          <w:p>
            <w:pPr>
              <w:widowControl/>
              <w:jc w:val="center"/>
              <w:rPr>
                <w:rFonts w:hint="eastAsia" w:ascii="宋体" w:eastAsia="宋体" w:cs="Arial"/>
                <w:color w:val="000000"/>
                <w:kern w:val="0"/>
                <w:sz w:val="22"/>
                <w:lang w:eastAsia="zh-CN"/>
              </w:rPr>
            </w:pPr>
            <w:r>
              <w:rPr>
                <w:rFonts w:hint="eastAsia" w:ascii="宋体" w:hAnsi="宋体" w:cs="Arial"/>
                <w:color w:val="000000"/>
                <w:kern w:val="0"/>
                <w:sz w:val="22"/>
                <w:lang w:val="en-US" w:eastAsia="zh-CN"/>
              </w:rPr>
              <w:t>8</w:t>
            </w:r>
          </w:p>
        </w:tc>
        <w:tc>
          <w:tcPr>
            <w:tcW w:w="1416" w:type="dxa"/>
            <w:tcBorders>
              <w:top w:val="nil"/>
              <w:left w:val="nil"/>
              <w:bottom w:val="single" w:color="000000" w:sz="4" w:space="0"/>
              <w:right w:val="single" w:color="000000" w:sz="4" w:space="0"/>
            </w:tcBorders>
            <w:noWrap/>
            <w:vAlign w:val="center"/>
          </w:tcPr>
          <w:p>
            <w:pPr>
              <w:widowControl/>
              <w:jc w:val="center"/>
              <w:rPr>
                <w:rFonts w:hint="default" w:ascii="宋体" w:eastAsia="宋体" w:cs="Arial"/>
                <w:color w:val="000000"/>
                <w:kern w:val="0"/>
                <w:sz w:val="22"/>
                <w:lang w:val="en-US" w:eastAsia="zh-CN"/>
              </w:rPr>
            </w:pPr>
            <w:r>
              <w:rPr>
                <w:rFonts w:hint="eastAsia" w:ascii="宋体" w:cs="Arial"/>
                <w:color w:val="000000"/>
                <w:kern w:val="0"/>
                <w:sz w:val="22"/>
                <w:lang w:val="en-US" w:eastAsia="zh-CN"/>
              </w:rPr>
              <w:t>78.64</w:t>
            </w:r>
          </w:p>
        </w:tc>
        <w:tc>
          <w:tcPr>
            <w:tcW w:w="3429" w:type="dxa"/>
            <w:tcBorders>
              <w:top w:val="nil"/>
              <w:left w:val="nil"/>
              <w:bottom w:val="single" w:color="000000" w:sz="4" w:space="0"/>
              <w:right w:val="single" w:color="000000" w:sz="4" w:space="0"/>
            </w:tcBorders>
            <w:noWrap/>
            <w:vAlign w:val="center"/>
          </w:tcPr>
          <w:p>
            <w:pPr>
              <w:widowControl/>
              <w:jc w:val="center"/>
              <w:rPr>
                <w:rFonts w:hint="default" w:ascii="宋体" w:eastAsia="宋体" w:cs="Arial"/>
                <w:color w:val="000000"/>
                <w:kern w:val="0"/>
                <w:sz w:val="22"/>
                <w:lang w:val="en-US" w:eastAsia="zh-CN"/>
              </w:rPr>
            </w:pPr>
            <w:r>
              <w:rPr>
                <w:rFonts w:hint="eastAsia" w:ascii="宋体" w:cs="Arial"/>
                <w:color w:val="000000"/>
                <w:kern w:val="0"/>
                <w:sz w:val="22"/>
                <w:lang w:val="en-US" w:eastAsia="zh-CN"/>
              </w:rPr>
              <w:t>68.81</w:t>
            </w:r>
          </w:p>
        </w:tc>
      </w:tr>
      <w:tr>
        <w:tblPrEx>
          <w:tblLayout w:type="fixed"/>
          <w:tblCellMar>
            <w:top w:w="0" w:type="dxa"/>
            <w:left w:w="108" w:type="dxa"/>
            <w:bottom w:w="0" w:type="dxa"/>
            <w:right w:w="108" w:type="dxa"/>
          </w:tblCellMar>
        </w:tblPrEx>
        <w:trPr>
          <w:trHeight w:val="308" w:hRule="atLeast"/>
        </w:trPr>
        <w:tc>
          <w:tcPr>
            <w:tcW w:w="598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2.</w:t>
            </w:r>
            <w:r>
              <w:rPr>
                <w:rFonts w:hint="eastAsia" w:ascii="宋体" w:hAnsi="宋体" w:cs="Arial"/>
                <w:color w:val="000000"/>
                <w:kern w:val="0"/>
                <w:sz w:val="22"/>
              </w:rPr>
              <w:t>越野车</w:t>
            </w:r>
          </w:p>
        </w:tc>
        <w:tc>
          <w:tcPr>
            <w:tcW w:w="43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914"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141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3429"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598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3.</w:t>
            </w:r>
            <w:r>
              <w:rPr>
                <w:rFonts w:hint="eastAsia" w:ascii="宋体" w:hAnsi="宋体" w:cs="Arial"/>
                <w:color w:val="000000"/>
                <w:kern w:val="0"/>
                <w:sz w:val="22"/>
              </w:rPr>
              <w:t>小型载客汽车</w:t>
            </w:r>
          </w:p>
        </w:tc>
        <w:tc>
          <w:tcPr>
            <w:tcW w:w="43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914"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141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3429"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598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4.</w:t>
            </w:r>
            <w:r>
              <w:rPr>
                <w:rFonts w:hint="eastAsia" w:ascii="宋体" w:hAnsi="宋体" w:cs="Arial"/>
                <w:color w:val="000000"/>
                <w:kern w:val="0"/>
                <w:sz w:val="22"/>
              </w:rPr>
              <w:t>大中型载客汽车</w:t>
            </w:r>
          </w:p>
        </w:tc>
        <w:tc>
          <w:tcPr>
            <w:tcW w:w="43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914"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141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3429"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598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ascii="宋体" w:hAnsi="宋体" w:cs="Arial"/>
                <w:color w:val="000000"/>
                <w:kern w:val="0"/>
                <w:sz w:val="22"/>
              </w:rPr>
              <w:t>5.</w:t>
            </w:r>
            <w:r>
              <w:rPr>
                <w:rFonts w:hint="eastAsia" w:ascii="宋体" w:hAnsi="宋体" w:cs="Arial"/>
                <w:color w:val="000000"/>
                <w:kern w:val="0"/>
                <w:sz w:val="22"/>
              </w:rPr>
              <w:t>其他车型</w:t>
            </w:r>
          </w:p>
        </w:tc>
        <w:tc>
          <w:tcPr>
            <w:tcW w:w="43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914"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141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3429"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598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（三）单价在</w:t>
            </w:r>
            <w:r>
              <w:rPr>
                <w:rFonts w:ascii="宋体" w:hAnsi="宋体" w:cs="Arial"/>
                <w:color w:val="000000"/>
                <w:kern w:val="0"/>
                <w:sz w:val="22"/>
              </w:rPr>
              <w:t>50</w:t>
            </w:r>
            <w:r>
              <w:rPr>
                <w:rFonts w:hint="eastAsia" w:ascii="宋体" w:hAnsi="宋体" w:cs="Arial"/>
                <w:color w:val="000000"/>
                <w:kern w:val="0"/>
                <w:sz w:val="22"/>
              </w:rPr>
              <w:t>万元以上的设备（台、套…）</w:t>
            </w:r>
          </w:p>
        </w:tc>
        <w:tc>
          <w:tcPr>
            <w:tcW w:w="43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914"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141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3429"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598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其中：单价</w:t>
            </w:r>
            <w:r>
              <w:rPr>
                <w:rFonts w:ascii="宋体" w:hAnsi="宋体" w:cs="Arial"/>
                <w:color w:val="000000"/>
                <w:kern w:val="0"/>
                <w:sz w:val="22"/>
              </w:rPr>
              <w:t>50</w:t>
            </w:r>
            <w:r>
              <w:rPr>
                <w:rFonts w:hint="eastAsia" w:ascii="宋体" w:hAnsi="宋体" w:cs="Arial"/>
                <w:color w:val="000000"/>
                <w:kern w:val="0"/>
                <w:sz w:val="22"/>
              </w:rPr>
              <w:t>万元（含）以上的通用设备</w:t>
            </w:r>
          </w:p>
        </w:tc>
        <w:tc>
          <w:tcPr>
            <w:tcW w:w="43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914"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141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3429"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598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单价</w:t>
            </w:r>
            <w:r>
              <w:rPr>
                <w:rFonts w:ascii="宋体" w:hAnsi="宋体" w:cs="Arial"/>
                <w:color w:val="000000"/>
                <w:kern w:val="0"/>
                <w:sz w:val="22"/>
              </w:rPr>
              <w:t>100</w:t>
            </w:r>
            <w:r>
              <w:rPr>
                <w:rFonts w:hint="eastAsia" w:ascii="宋体" w:hAnsi="宋体" w:cs="Arial"/>
                <w:color w:val="000000"/>
                <w:kern w:val="0"/>
                <w:sz w:val="22"/>
              </w:rPr>
              <w:t>万元（含）以上的专用设备</w:t>
            </w:r>
          </w:p>
        </w:tc>
        <w:tc>
          <w:tcPr>
            <w:tcW w:w="43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914"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141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3429"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598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（四）其他固定资产</w:t>
            </w:r>
          </w:p>
        </w:tc>
        <w:tc>
          <w:tcPr>
            <w:tcW w:w="43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w:t>
            </w:r>
          </w:p>
        </w:tc>
        <w:tc>
          <w:tcPr>
            <w:tcW w:w="914"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w:t>
            </w:r>
          </w:p>
        </w:tc>
        <w:tc>
          <w:tcPr>
            <w:tcW w:w="1416" w:type="dxa"/>
            <w:tcBorders>
              <w:top w:val="nil"/>
              <w:left w:val="nil"/>
              <w:bottom w:val="single" w:color="000000" w:sz="4" w:space="0"/>
              <w:right w:val="single" w:color="000000" w:sz="4" w:space="0"/>
            </w:tcBorders>
            <w:noWrap/>
            <w:vAlign w:val="center"/>
          </w:tcPr>
          <w:p>
            <w:pPr>
              <w:widowControl/>
              <w:jc w:val="center"/>
              <w:rPr>
                <w:rFonts w:hint="default" w:ascii="宋体" w:eastAsia="宋体" w:cs="Arial"/>
                <w:color w:val="000000"/>
                <w:kern w:val="0"/>
                <w:sz w:val="22"/>
                <w:lang w:val="en-US" w:eastAsia="zh-CN"/>
              </w:rPr>
            </w:pPr>
            <w:r>
              <w:rPr>
                <w:rFonts w:hint="eastAsia" w:ascii="宋体" w:hAnsi="宋体" w:cs="Arial"/>
                <w:color w:val="000000"/>
                <w:kern w:val="0"/>
                <w:sz w:val="22"/>
                <w:lang w:val="en-US" w:eastAsia="zh-CN"/>
              </w:rPr>
              <w:t>136.43</w:t>
            </w:r>
          </w:p>
        </w:tc>
        <w:tc>
          <w:tcPr>
            <w:tcW w:w="3429" w:type="dxa"/>
            <w:tcBorders>
              <w:top w:val="nil"/>
              <w:left w:val="nil"/>
              <w:bottom w:val="single" w:color="000000" w:sz="4" w:space="0"/>
              <w:right w:val="single" w:color="000000" w:sz="4" w:space="0"/>
            </w:tcBorders>
            <w:noWrap/>
            <w:vAlign w:val="center"/>
          </w:tcPr>
          <w:p>
            <w:pPr>
              <w:widowControl/>
              <w:jc w:val="center"/>
              <w:rPr>
                <w:rFonts w:hint="default" w:ascii="宋体" w:eastAsia="宋体" w:cs="Arial"/>
                <w:color w:val="000000"/>
                <w:kern w:val="0"/>
                <w:sz w:val="22"/>
                <w:lang w:val="en-US" w:eastAsia="zh-CN"/>
              </w:rPr>
            </w:pPr>
            <w:r>
              <w:rPr>
                <w:rFonts w:hint="eastAsia" w:ascii="宋体" w:hAnsi="宋体" w:cs="Arial"/>
                <w:color w:val="000000"/>
                <w:kern w:val="0"/>
                <w:sz w:val="22"/>
                <w:lang w:val="en-US" w:eastAsia="zh-CN"/>
              </w:rPr>
              <w:t>147.31</w:t>
            </w:r>
          </w:p>
        </w:tc>
      </w:tr>
      <w:tr>
        <w:tblPrEx>
          <w:tblLayout w:type="fixed"/>
          <w:tblCellMar>
            <w:top w:w="0" w:type="dxa"/>
            <w:left w:w="108" w:type="dxa"/>
            <w:bottom w:w="0" w:type="dxa"/>
            <w:right w:w="108" w:type="dxa"/>
          </w:tblCellMar>
        </w:tblPrEx>
        <w:trPr>
          <w:trHeight w:val="308" w:hRule="atLeast"/>
        </w:trPr>
        <w:tc>
          <w:tcPr>
            <w:tcW w:w="5985" w:type="dxa"/>
            <w:tcBorders>
              <w:top w:val="nil"/>
              <w:left w:val="single" w:color="000000" w:sz="8" w:space="0"/>
              <w:bottom w:val="single" w:color="000000" w:sz="4" w:space="0"/>
              <w:right w:val="single" w:color="000000" w:sz="4" w:space="0"/>
            </w:tcBorders>
            <w:shd w:val="clear" w:color="FFFFFF" w:fill="C0C0C0"/>
            <w:noWrap/>
            <w:vAlign w:val="center"/>
          </w:tcPr>
          <w:p>
            <w:pPr>
              <w:widowControl/>
              <w:jc w:val="center"/>
              <w:rPr>
                <w:rFonts w:ascii="宋体" w:cs="Arial"/>
                <w:color w:val="000000"/>
                <w:kern w:val="0"/>
                <w:sz w:val="22"/>
              </w:rPr>
            </w:pPr>
            <w:r>
              <w:rPr>
                <w:rFonts w:hint="eastAsia" w:ascii="宋体" w:hAnsi="宋体" w:cs="Arial"/>
                <w:color w:val="000000"/>
                <w:kern w:val="0"/>
                <w:sz w:val="22"/>
              </w:rPr>
              <w:t>减：累计折旧及减值准备</w:t>
            </w:r>
          </w:p>
        </w:tc>
        <w:tc>
          <w:tcPr>
            <w:tcW w:w="43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w:t>
            </w:r>
          </w:p>
        </w:tc>
        <w:tc>
          <w:tcPr>
            <w:tcW w:w="914"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r>
              <w:rPr>
                <w:rFonts w:ascii="宋体" w:hAnsi="宋体" w:cs="Arial"/>
                <w:color w:val="000000"/>
                <w:kern w:val="0"/>
                <w:sz w:val="22"/>
              </w:rPr>
              <w:t>—</w:t>
            </w:r>
          </w:p>
        </w:tc>
        <w:tc>
          <w:tcPr>
            <w:tcW w:w="1416"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c>
          <w:tcPr>
            <w:tcW w:w="3429" w:type="dxa"/>
            <w:tcBorders>
              <w:top w:val="nil"/>
              <w:left w:val="nil"/>
              <w:bottom w:val="single" w:color="000000" w:sz="4" w:space="0"/>
              <w:right w:val="single" w:color="000000" w:sz="4" w:space="0"/>
            </w:tcBorders>
            <w:noWrap/>
            <w:vAlign w:val="center"/>
          </w:tcPr>
          <w:p>
            <w:pPr>
              <w:widowControl/>
              <w:jc w:val="center"/>
              <w:rPr>
                <w:rFonts w:ascii="宋体" w:cs="Arial"/>
                <w:color w:val="000000"/>
                <w:kern w:val="0"/>
                <w:sz w:val="22"/>
              </w:rPr>
            </w:pPr>
          </w:p>
        </w:tc>
      </w:tr>
    </w:tbl>
    <w:p/>
    <w:p>
      <w:pPr>
        <w:autoSpaceDE w:val="0"/>
        <w:autoSpaceDN w:val="0"/>
        <w:adjustRightInd w:val="0"/>
        <w:rPr>
          <w:rFonts w:ascii="黑体" w:hAnsi="黑体" w:eastAsia="黑体" w:cs="楷体"/>
          <w:bCs/>
          <w:sz w:val="32"/>
          <w:szCs w:val="32"/>
        </w:rPr>
      </w:pPr>
    </w:p>
    <w:p>
      <w:pPr>
        <w:autoSpaceDE w:val="0"/>
        <w:autoSpaceDN w:val="0"/>
        <w:adjustRightInd w:val="0"/>
        <w:ind w:firstLine="800" w:firstLineChars="250"/>
        <w:rPr>
          <w:rFonts w:ascii="楷体" w:hAnsi="楷体" w:eastAsia="楷体" w:cs="楷体"/>
          <w:b/>
          <w:bCs/>
          <w:sz w:val="32"/>
          <w:szCs w:val="32"/>
        </w:rPr>
      </w:pPr>
      <w:r>
        <w:rPr>
          <w:rFonts w:hint="eastAsia" w:ascii="黑体" w:hAnsi="黑体" w:eastAsia="黑体" w:cs="楷体"/>
          <w:bCs/>
          <w:sz w:val="32"/>
          <w:szCs w:val="32"/>
        </w:rPr>
        <w:t>八、名词解释</w:t>
      </w:r>
    </w:p>
    <w:p>
      <w:pPr>
        <w:pStyle w:val="11"/>
        <w:rPr>
          <w:rFonts w:ascii="仿宋" w:hAnsi="仿宋" w:eastAsia="仿宋"/>
          <w:b/>
          <w:bCs/>
          <w:sz w:val="32"/>
          <w:szCs w:val="32"/>
        </w:rPr>
      </w:pPr>
      <w:r>
        <w:rPr>
          <w:rFonts w:ascii="仿宋" w:hAnsi="仿宋" w:eastAsia="仿宋" w:cs="仿宋"/>
          <w:bCs/>
          <w:sz w:val="32"/>
          <w:szCs w:val="32"/>
        </w:rPr>
        <w:t xml:space="preserve">    </w:t>
      </w:r>
      <w:r>
        <w:rPr>
          <w:rFonts w:eastAsia="Times New Roman"/>
          <w:b/>
          <w:sz w:val="32"/>
          <w:szCs w:val="32"/>
        </w:rPr>
        <w:t xml:space="preserve"> </w:t>
      </w:r>
      <w:r>
        <w:rPr>
          <w:rFonts w:ascii="仿宋" w:hAnsi="仿宋" w:eastAsia="仿宋"/>
          <w:b/>
          <w:bCs/>
          <w:sz w:val="32"/>
          <w:szCs w:val="32"/>
        </w:rPr>
        <w:t>1</w:t>
      </w:r>
      <w:r>
        <w:rPr>
          <w:rFonts w:hint="eastAsia" w:ascii="仿宋" w:hAnsi="仿宋" w:eastAsia="仿宋" w:cs="FZFangSong-Z02"/>
          <w:sz w:val="32"/>
          <w:szCs w:val="32"/>
        </w:rPr>
        <w:t>、一般公共预算拨款收入：指县级财政当年拨付的资金。</w:t>
      </w:r>
    </w:p>
    <w:p>
      <w:pPr>
        <w:autoSpaceDE w:val="0"/>
        <w:autoSpaceDN w:val="0"/>
        <w:adjustRightInd w:val="0"/>
        <w:jc w:val="left"/>
        <w:rPr>
          <w:rFonts w:ascii="仿宋" w:hAnsi="仿宋" w:eastAsia="仿宋" w:cs="FZFangSong-Z02"/>
          <w:color w:val="000000"/>
          <w:kern w:val="0"/>
          <w:sz w:val="32"/>
          <w:szCs w:val="32"/>
        </w:rPr>
      </w:pPr>
      <w:r>
        <w:rPr>
          <w:rFonts w:ascii="仿宋" w:hAnsi="仿宋" w:eastAsia="仿宋"/>
          <w:b/>
          <w:bCs/>
          <w:color w:val="000000"/>
          <w:kern w:val="0"/>
          <w:sz w:val="32"/>
          <w:szCs w:val="32"/>
        </w:rPr>
        <w:t xml:space="preserve">     2</w:t>
      </w:r>
      <w:r>
        <w:rPr>
          <w:rFonts w:hint="eastAsia" w:ascii="仿宋" w:hAnsi="仿宋" w:eastAsia="仿宋" w:cs="FZFangSong-Z02"/>
          <w:color w:val="000000"/>
          <w:kern w:val="0"/>
          <w:sz w:val="32"/>
          <w:szCs w:val="32"/>
        </w:rPr>
        <w:t>、事业收入：指事业单位开展专业业务活动及辅助活动所取得的收入。</w:t>
      </w:r>
    </w:p>
    <w:p>
      <w:pPr>
        <w:autoSpaceDE w:val="0"/>
        <w:autoSpaceDN w:val="0"/>
        <w:adjustRightInd w:val="0"/>
        <w:jc w:val="left"/>
        <w:rPr>
          <w:rFonts w:ascii="仿宋" w:hAnsi="仿宋" w:eastAsia="仿宋" w:cs="FZFangSong-Z02"/>
          <w:color w:val="000000"/>
          <w:kern w:val="0"/>
          <w:sz w:val="32"/>
          <w:szCs w:val="32"/>
        </w:rPr>
      </w:pPr>
      <w:r>
        <w:rPr>
          <w:rFonts w:ascii="仿宋" w:hAnsi="仿宋" w:eastAsia="仿宋"/>
          <w:b/>
          <w:bCs/>
          <w:color w:val="000000"/>
          <w:kern w:val="0"/>
          <w:sz w:val="32"/>
          <w:szCs w:val="32"/>
        </w:rPr>
        <w:t xml:space="preserve">     3</w:t>
      </w:r>
      <w:r>
        <w:rPr>
          <w:rFonts w:hint="eastAsia" w:ascii="仿宋" w:hAnsi="仿宋" w:eastAsia="仿宋" w:cs="FZFangSong-Z02"/>
          <w:color w:val="000000"/>
          <w:kern w:val="0"/>
          <w:sz w:val="32"/>
          <w:szCs w:val="32"/>
        </w:rPr>
        <w:t>、其他收入：指除上述</w:t>
      </w:r>
      <w:r>
        <w:rPr>
          <w:rFonts w:hint="eastAsia" w:ascii="仿宋" w:hAnsi="仿宋" w:eastAsia="仿宋"/>
          <w:color w:val="000000"/>
          <w:kern w:val="0"/>
          <w:sz w:val="32"/>
          <w:szCs w:val="32"/>
        </w:rPr>
        <w:t>“</w:t>
      </w:r>
      <w:r>
        <w:rPr>
          <w:rFonts w:hint="eastAsia" w:ascii="仿宋" w:hAnsi="仿宋" w:eastAsia="仿宋" w:cs="FZFangSong-Z02"/>
          <w:color w:val="000000"/>
          <w:kern w:val="0"/>
          <w:sz w:val="32"/>
          <w:szCs w:val="32"/>
        </w:rPr>
        <w:t>财政拨款收入</w:t>
      </w:r>
      <w:r>
        <w:rPr>
          <w:rFonts w:hint="eastAsia" w:ascii="仿宋" w:hAnsi="仿宋" w:eastAsia="仿宋"/>
          <w:color w:val="000000"/>
          <w:kern w:val="0"/>
          <w:sz w:val="32"/>
          <w:szCs w:val="32"/>
        </w:rPr>
        <w:t>”</w:t>
      </w:r>
      <w:r>
        <w:rPr>
          <w:rFonts w:hint="eastAsia" w:ascii="仿宋" w:hAnsi="仿宋" w:eastAsia="仿宋" w:cs="FZFangSong-Z02"/>
          <w:color w:val="000000"/>
          <w:kern w:val="0"/>
          <w:sz w:val="32"/>
          <w:szCs w:val="32"/>
        </w:rPr>
        <w:t>、</w:t>
      </w:r>
      <w:r>
        <w:rPr>
          <w:rFonts w:hint="eastAsia" w:ascii="仿宋" w:hAnsi="仿宋" w:eastAsia="仿宋"/>
          <w:color w:val="000000"/>
          <w:kern w:val="0"/>
          <w:sz w:val="32"/>
          <w:szCs w:val="32"/>
        </w:rPr>
        <w:t>“</w:t>
      </w:r>
      <w:r>
        <w:rPr>
          <w:rFonts w:hint="eastAsia" w:ascii="仿宋" w:hAnsi="仿宋" w:eastAsia="仿宋" w:cs="FZFangSong-Z02"/>
          <w:color w:val="000000"/>
          <w:kern w:val="0"/>
          <w:sz w:val="32"/>
          <w:szCs w:val="32"/>
        </w:rPr>
        <w:t>事业收入</w:t>
      </w:r>
      <w:r>
        <w:rPr>
          <w:rFonts w:hint="eastAsia" w:ascii="仿宋" w:hAnsi="仿宋" w:eastAsia="仿宋"/>
          <w:color w:val="000000"/>
          <w:kern w:val="0"/>
          <w:sz w:val="32"/>
          <w:szCs w:val="32"/>
        </w:rPr>
        <w:t>”</w:t>
      </w:r>
      <w:r>
        <w:rPr>
          <w:rFonts w:hint="eastAsia" w:ascii="仿宋" w:hAnsi="仿宋" w:eastAsia="仿宋" w:cs="FZFangSong-Z02"/>
          <w:color w:val="000000"/>
          <w:kern w:val="0"/>
          <w:sz w:val="32"/>
          <w:szCs w:val="32"/>
        </w:rPr>
        <w:t>等以外的收入。主要是按规定动用的租房收入、存款利息收入等。</w:t>
      </w:r>
    </w:p>
    <w:p>
      <w:pPr>
        <w:autoSpaceDE w:val="0"/>
        <w:autoSpaceDN w:val="0"/>
        <w:adjustRightInd w:val="0"/>
        <w:jc w:val="left"/>
        <w:rPr>
          <w:rFonts w:ascii="仿宋" w:hAnsi="仿宋" w:eastAsia="仿宋" w:cs="FZFangSong-Z02"/>
          <w:color w:val="000000"/>
          <w:kern w:val="0"/>
          <w:sz w:val="32"/>
          <w:szCs w:val="32"/>
        </w:rPr>
      </w:pPr>
      <w:r>
        <w:rPr>
          <w:rFonts w:ascii="仿宋" w:hAnsi="仿宋" w:eastAsia="仿宋"/>
          <w:b/>
          <w:bCs/>
          <w:color w:val="000000"/>
          <w:kern w:val="0"/>
          <w:sz w:val="32"/>
          <w:szCs w:val="32"/>
        </w:rPr>
        <w:t xml:space="preserve">     4</w:t>
      </w:r>
      <w:r>
        <w:rPr>
          <w:rFonts w:hint="eastAsia" w:ascii="仿宋" w:hAnsi="仿宋" w:eastAsia="仿宋" w:cs="FZFangSong-Z02"/>
          <w:color w:val="000000"/>
          <w:kern w:val="0"/>
          <w:sz w:val="32"/>
          <w:szCs w:val="32"/>
        </w:rPr>
        <w:t>、基本支出：</w:t>
      </w:r>
      <w:r>
        <w:rPr>
          <w:rFonts w:hint="eastAsia" w:ascii="仿宋" w:hAnsi="仿宋" w:eastAsia="仿宋"/>
          <w:color w:val="000000"/>
          <w:kern w:val="0"/>
          <w:sz w:val="32"/>
          <w:szCs w:val="32"/>
        </w:rPr>
        <w:t>指为保障机构正常运转、完成日常工作任务而发生的人员支出和公用支出。</w:t>
      </w:r>
    </w:p>
    <w:p>
      <w:pPr>
        <w:rPr>
          <w:rFonts w:ascii="仿宋" w:hAnsi="仿宋" w:eastAsia="仿宋"/>
          <w:sz w:val="32"/>
          <w:szCs w:val="32"/>
        </w:rPr>
      </w:pPr>
      <w:r>
        <w:rPr>
          <w:rFonts w:ascii="仿宋" w:hAnsi="仿宋" w:eastAsia="仿宋"/>
          <w:b/>
          <w:bCs/>
          <w:sz w:val="32"/>
          <w:szCs w:val="32"/>
        </w:rPr>
        <w:t xml:space="preserve">     5</w:t>
      </w:r>
      <w:r>
        <w:rPr>
          <w:rFonts w:hint="eastAsia" w:ascii="仿宋" w:hAnsi="仿宋" w:eastAsia="仿宋" w:cs="FZFangSong-Z02"/>
          <w:sz w:val="32"/>
          <w:szCs w:val="32"/>
        </w:rPr>
        <w:t>、项目支出：</w:t>
      </w:r>
      <w:r>
        <w:rPr>
          <w:rFonts w:hint="eastAsia" w:ascii="仿宋" w:hAnsi="仿宋" w:eastAsia="仿宋"/>
          <w:sz w:val="32"/>
          <w:szCs w:val="32"/>
        </w:rPr>
        <w:t>指在基本支出之外为完成特定行政任务和事业发展目标所发生的支出。</w:t>
      </w:r>
    </w:p>
    <w:p>
      <w:pPr>
        <w:autoSpaceDE w:val="0"/>
        <w:autoSpaceDN w:val="0"/>
        <w:adjustRightInd w:val="0"/>
        <w:jc w:val="left"/>
        <w:rPr>
          <w:rFonts w:ascii="仿宋" w:hAnsi="仿宋" w:eastAsia="仿宋"/>
          <w:color w:val="000000"/>
          <w:kern w:val="0"/>
          <w:sz w:val="32"/>
          <w:szCs w:val="32"/>
        </w:rPr>
      </w:pPr>
      <w:r>
        <w:rPr>
          <w:rFonts w:ascii="仿宋" w:hAnsi="仿宋" w:eastAsia="仿宋"/>
          <w:b/>
          <w:bCs/>
          <w:color w:val="000000"/>
          <w:kern w:val="0"/>
          <w:sz w:val="32"/>
          <w:szCs w:val="32"/>
        </w:rPr>
        <w:t xml:space="preserve">     6</w:t>
      </w:r>
      <w:r>
        <w:rPr>
          <w:rFonts w:hint="eastAsia" w:ascii="仿宋" w:hAnsi="仿宋" w:eastAsia="仿宋" w:cs="FZFangSong-Z02"/>
          <w:color w:val="000000"/>
          <w:kern w:val="0"/>
          <w:sz w:val="32"/>
          <w:szCs w:val="32"/>
        </w:rPr>
        <w:t>、上缴上级支出：</w:t>
      </w:r>
      <w:r>
        <w:rPr>
          <w:rFonts w:hint="eastAsia" w:ascii="仿宋" w:hAnsi="仿宋" w:eastAsia="仿宋"/>
          <w:color w:val="000000"/>
          <w:kern w:val="0"/>
          <w:sz w:val="32"/>
          <w:szCs w:val="32"/>
        </w:rPr>
        <w:t>指下级单位上缴上级的支出。</w:t>
      </w:r>
    </w:p>
    <w:p>
      <w:pPr>
        <w:autoSpaceDE w:val="0"/>
        <w:autoSpaceDN w:val="0"/>
        <w:adjustRightInd w:val="0"/>
        <w:jc w:val="left"/>
        <w:rPr>
          <w:rFonts w:ascii="仿宋" w:hAnsi="仿宋" w:eastAsia="仿宋" w:cs="FZFangSong-Z02"/>
          <w:color w:val="000000"/>
          <w:kern w:val="0"/>
          <w:sz w:val="32"/>
          <w:szCs w:val="32"/>
        </w:rPr>
      </w:pPr>
      <w:r>
        <w:rPr>
          <w:rFonts w:ascii="仿宋" w:hAnsi="仿宋" w:eastAsia="仿宋"/>
          <w:b/>
          <w:bCs/>
          <w:color w:val="000000"/>
          <w:kern w:val="0"/>
          <w:sz w:val="32"/>
          <w:szCs w:val="32"/>
        </w:rPr>
        <w:t xml:space="preserve">     7</w:t>
      </w:r>
      <w:r>
        <w:rPr>
          <w:rFonts w:hint="eastAsia" w:ascii="仿宋" w:hAnsi="仿宋" w:eastAsia="仿宋" w:cs="FZFangSong-Z02"/>
          <w:color w:val="000000"/>
          <w:kern w:val="0"/>
          <w:sz w:val="32"/>
          <w:szCs w:val="32"/>
        </w:rPr>
        <w:t>、</w:t>
      </w:r>
      <w:r>
        <w:rPr>
          <w:rFonts w:hint="eastAsia" w:ascii="仿宋" w:hAnsi="仿宋" w:eastAsia="仿宋"/>
          <w:b/>
          <w:bCs/>
          <w:color w:val="000000"/>
          <w:kern w:val="0"/>
          <w:sz w:val="32"/>
          <w:szCs w:val="32"/>
        </w:rPr>
        <w:t>“</w:t>
      </w:r>
      <w:r>
        <w:rPr>
          <w:rFonts w:hint="eastAsia" w:ascii="仿宋" w:hAnsi="仿宋" w:eastAsia="仿宋" w:cs="FZFangSong-Z02"/>
          <w:color w:val="000000"/>
          <w:kern w:val="0"/>
          <w:sz w:val="32"/>
          <w:szCs w:val="32"/>
        </w:rPr>
        <w:t>三公</w:t>
      </w:r>
      <w:r>
        <w:rPr>
          <w:rFonts w:hint="eastAsia" w:ascii="仿宋" w:hAnsi="仿宋" w:eastAsia="仿宋"/>
          <w:b/>
          <w:bCs/>
          <w:color w:val="000000"/>
          <w:kern w:val="0"/>
          <w:sz w:val="32"/>
          <w:szCs w:val="32"/>
        </w:rPr>
        <w:t>”</w:t>
      </w:r>
      <w:r>
        <w:rPr>
          <w:rFonts w:hint="eastAsia" w:ascii="仿宋" w:hAnsi="仿宋" w:eastAsia="仿宋" w:cs="FZFangSong-Z02"/>
          <w:color w:val="000000"/>
          <w:kern w:val="0"/>
          <w:sz w:val="32"/>
          <w:szCs w:val="32"/>
        </w:rPr>
        <w:t>经费：纳入县级财政预算管理的</w:t>
      </w:r>
      <w:r>
        <w:rPr>
          <w:rFonts w:hint="eastAsia" w:ascii="仿宋" w:hAnsi="仿宋" w:eastAsia="仿宋"/>
          <w:color w:val="000000"/>
          <w:kern w:val="0"/>
          <w:sz w:val="32"/>
          <w:szCs w:val="32"/>
        </w:rPr>
        <w:t>“</w:t>
      </w:r>
      <w:r>
        <w:rPr>
          <w:rFonts w:hint="eastAsia" w:ascii="仿宋" w:hAnsi="仿宋" w:eastAsia="仿宋" w:cs="FZFangSong-Z02"/>
          <w:color w:val="000000"/>
          <w:kern w:val="0"/>
          <w:sz w:val="32"/>
          <w:szCs w:val="32"/>
        </w:rPr>
        <w:t>三公</w:t>
      </w:r>
      <w:r>
        <w:rPr>
          <w:rFonts w:hint="eastAsia" w:ascii="仿宋" w:hAnsi="仿宋" w:eastAsia="仿宋"/>
          <w:color w:val="000000"/>
          <w:kern w:val="0"/>
          <w:sz w:val="32"/>
          <w:szCs w:val="32"/>
        </w:rPr>
        <w:t>”</w:t>
      </w:r>
      <w:r>
        <w:rPr>
          <w:rFonts w:hint="eastAsia" w:ascii="仿宋" w:hAnsi="仿宋" w:eastAsia="仿宋" w:cs="FZFangSong-Z02"/>
          <w:color w:val="000000"/>
          <w:kern w:val="0"/>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 w:hAnsi="仿宋" w:eastAsia="仿宋" w:cs="FZFangSong-Z02"/>
          <w:sz w:val="32"/>
          <w:szCs w:val="32"/>
        </w:rPr>
      </w:pPr>
      <w:r>
        <w:rPr>
          <w:rFonts w:ascii="仿宋" w:hAnsi="仿宋" w:eastAsia="仿宋"/>
          <w:b/>
          <w:bCs/>
          <w:sz w:val="32"/>
          <w:szCs w:val="32"/>
        </w:rPr>
        <w:t xml:space="preserve">     8</w:t>
      </w:r>
      <w:r>
        <w:rPr>
          <w:rFonts w:hint="eastAsia" w:ascii="仿宋" w:hAnsi="仿宋" w:eastAsia="仿宋"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 w:hAnsi="仿宋" w:eastAsia="仿宋"/>
          <w:sz w:val="32"/>
          <w:szCs w:val="32"/>
        </w:rPr>
        <w:t>其他费用。</w:t>
      </w:r>
    </w:p>
    <w:p>
      <w:pPr>
        <w:tabs>
          <w:tab w:val="left" w:pos="11490"/>
        </w:tabs>
        <w:ind w:firstLine="640" w:firstLineChars="200"/>
        <w:rPr>
          <w:rFonts w:ascii="黑体" w:hAnsi="黑体" w:eastAsia="黑体" w:cs="楷体"/>
          <w:bCs/>
          <w:sz w:val="32"/>
          <w:szCs w:val="32"/>
        </w:rPr>
      </w:pPr>
      <w:r>
        <w:rPr>
          <w:rFonts w:hint="eastAsia" w:ascii="黑体" w:hAnsi="黑体" w:eastAsia="黑体" w:cs="楷体"/>
          <w:bCs/>
          <w:sz w:val="32"/>
          <w:szCs w:val="32"/>
        </w:rPr>
        <w:t>九、其它需要说明的事项</w:t>
      </w:r>
    </w:p>
    <w:p>
      <w:pPr>
        <w:tabs>
          <w:tab w:val="left" w:pos="11490"/>
        </w:tabs>
        <w:ind w:firstLine="640" w:firstLineChars="200"/>
        <w:rPr>
          <w:rFonts w:ascii="仿宋" w:hAnsi="仿宋" w:eastAsia="仿宋" w:cs="仿宋"/>
          <w:bCs/>
          <w:sz w:val="32"/>
          <w:szCs w:val="32"/>
        </w:rPr>
      </w:pPr>
      <w:r>
        <w:rPr>
          <w:rFonts w:hint="eastAsia" w:ascii="仿宋" w:hAnsi="仿宋" w:eastAsia="仿宋" w:cs="仿宋"/>
          <w:bCs/>
          <w:sz w:val="32"/>
          <w:szCs w:val="32"/>
        </w:rPr>
        <w:t>无其它需要说明的事项。</w:t>
      </w:r>
    </w:p>
    <w:sectPr>
      <w:pgSz w:w="16838" w:h="11906" w:orient="landscape"/>
      <w:pgMar w:top="1406" w:right="1440" w:bottom="1406"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仿宋_GB2312"/>
    <w:panose1 w:val="00000000000000000000"/>
    <w:charset w:val="86"/>
    <w:family w:val="roma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FZFangSong-Z02">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2173D"/>
    <w:rsid w:val="00037AF6"/>
    <w:rsid w:val="00044F8F"/>
    <w:rsid w:val="00045A61"/>
    <w:rsid w:val="00046187"/>
    <w:rsid w:val="00075D5F"/>
    <w:rsid w:val="00096F92"/>
    <w:rsid w:val="000C3A19"/>
    <w:rsid w:val="00106D08"/>
    <w:rsid w:val="001245BB"/>
    <w:rsid w:val="00163F81"/>
    <w:rsid w:val="00166514"/>
    <w:rsid w:val="0018479D"/>
    <w:rsid w:val="001A10F1"/>
    <w:rsid w:val="001C0783"/>
    <w:rsid w:val="001C5265"/>
    <w:rsid w:val="00227F20"/>
    <w:rsid w:val="00241FD4"/>
    <w:rsid w:val="00251B12"/>
    <w:rsid w:val="002645FB"/>
    <w:rsid w:val="00276731"/>
    <w:rsid w:val="00296113"/>
    <w:rsid w:val="002C0099"/>
    <w:rsid w:val="002D534B"/>
    <w:rsid w:val="002F0E20"/>
    <w:rsid w:val="002F293B"/>
    <w:rsid w:val="002F3E58"/>
    <w:rsid w:val="002F5DBD"/>
    <w:rsid w:val="0030542C"/>
    <w:rsid w:val="00311B7A"/>
    <w:rsid w:val="0033480E"/>
    <w:rsid w:val="003E1A7F"/>
    <w:rsid w:val="003F5C3E"/>
    <w:rsid w:val="00451871"/>
    <w:rsid w:val="00472923"/>
    <w:rsid w:val="004D0CCE"/>
    <w:rsid w:val="004E3066"/>
    <w:rsid w:val="004E74CD"/>
    <w:rsid w:val="004F01FF"/>
    <w:rsid w:val="00573562"/>
    <w:rsid w:val="005B4BCF"/>
    <w:rsid w:val="00614A29"/>
    <w:rsid w:val="006E771A"/>
    <w:rsid w:val="0075393C"/>
    <w:rsid w:val="00776C08"/>
    <w:rsid w:val="00784B9E"/>
    <w:rsid w:val="007A7EBC"/>
    <w:rsid w:val="007B4EE0"/>
    <w:rsid w:val="007C156D"/>
    <w:rsid w:val="007E1DA8"/>
    <w:rsid w:val="007F6C26"/>
    <w:rsid w:val="00826031"/>
    <w:rsid w:val="008275FC"/>
    <w:rsid w:val="008334AE"/>
    <w:rsid w:val="00834B45"/>
    <w:rsid w:val="00836911"/>
    <w:rsid w:val="00836FED"/>
    <w:rsid w:val="00845CD2"/>
    <w:rsid w:val="008502D8"/>
    <w:rsid w:val="00852B0D"/>
    <w:rsid w:val="0087311C"/>
    <w:rsid w:val="00881692"/>
    <w:rsid w:val="008B3CC5"/>
    <w:rsid w:val="008C2BAF"/>
    <w:rsid w:val="008E4261"/>
    <w:rsid w:val="008F4662"/>
    <w:rsid w:val="008F5D3F"/>
    <w:rsid w:val="00905D08"/>
    <w:rsid w:val="0092155A"/>
    <w:rsid w:val="00925753"/>
    <w:rsid w:val="00966C5C"/>
    <w:rsid w:val="00973104"/>
    <w:rsid w:val="009829ED"/>
    <w:rsid w:val="009D6989"/>
    <w:rsid w:val="00A20840"/>
    <w:rsid w:val="00A46BF8"/>
    <w:rsid w:val="00A6188A"/>
    <w:rsid w:val="00A72D2E"/>
    <w:rsid w:val="00A911E7"/>
    <w:rsid w:val="00A939D9"/>
    <w:rsid w:val="00A93FB4"/>
    <w:rsid w:val="00AA5249"/>
    <w:rsid w:val="00AB52E9"/>
    <w:rsid w:val="00B01EE5"/>
    <w:rsid w:val="00B20712"/>
    <w:rsid w:val="00B43238"/>
    <w:rsid w:val="00B75216"/>
    <w:rsid w:val="00B91D52"/>
    <w:rsid w:val="00BA1ACD"/>
    <w:rsid w:val="00BC1308"/>
    <w:rsid w:val="00BD76F6"/>
    <w:rsid w:val="00C25862"/>
    <w:rsid w:val="00CA3FE4"/>
    <w:rsid w:val="00CA7176"/>
    <w:rsid w:val="00CB4E61"/>
    <w:rsid w:val="00CB54B0"/>
    <w:rsid w:val="00CD2773"/>
    <w:rsid w:val="00CE143B"/>
    <w:rsid w:val="00D24D3C"/>
    <w:rsid w:val="00D96FA7"/>
    <w:rsid w:val="00E06E8B"/>
    <w:rsid w:val="00E167C7"/>
    <w:rsid w:val="00E2329E"/>
    <w:rsid w:val="00E31A0A"/>
    <w:rsid w:val="00E50D82"/>
    <w:rsid w:val="00E5786B"/>
    <w:rsid w:val="00EA6E7F"/>
    <w:rsid w:val="00EB0542"/>
    <w:rsid w:val="00EB62CA"/>
    <w:rsid w:val="00EB6936"/>
    <w:rsid w:val="00EC47F6"/>
    <w:rsid w:val="00EE1B43"/>
    <w:rsid w:val="00F13D40"/>
    <w:rsid w:val="00F153EF"/>
    <w:rsid w:val="00F17C91"/>
    <w:rsid w:val="00F66032"/>
    <w:rsid w:val="00F84F25"/>
    <w:rsid w:val="00F87EE7"/>
    <w:rsid w:val="00F92D69"/>
    <w:rsid w:val="00F958C2"/>
    <w:rsid w:val="00FA3A70"/>
    <w:rsid w:val="00FD148A"/>
    <w:rsid w:val="033106D9"/>
    <w:rsid w:val="04C71A74"/>
    <w:rsid w:val="04FB51EF"/>
    <w:rsid w:val="0AC774CB"/>
    <w:rsid w:val="0C5D0866"/>
    <w:rsid w:val="0FBF7B89"/>
    <w:rsid w:val="14FA1515"/>
    <w:rsid w:val="17B573CA"/>
    <w:rsid w:val="1965675F"/>
    <w:rsid w:val="1EEE51A3"/>
    <w:rsid w:val="24895BA1"/>
    <w:rsid w:val="2AAC1BB7"/>
    <w:rsid w:val="2BC8736F"/>
    <w:rsid w:val="2BE32043"/>
    <w:rsid w:val="324E00CB"/>
    <w:rsid w:val="33680066"/>
    <w:rsid w:val="3A780C90"/>
    <w:rsid w:val="3BED0E4D"/>
    <w:rsid w:val="41A71071"/>
    <w:rsid w:val="43B00BDD"/>
    <w:rsid w:val="467D792A"/>
    <w:rsid w:val="4F453A05"/>
    <w:rsid w:val="50362B19"/>
    <w:rsid w:val="503B34E5"/>
    <w:rsid w:val="512951BD"/>
    <w:rsid w:val="51AE5698"/>
    <w:rsid w:val="5496151C"/>
    <w:rsid w:val="556F7B3B"/>
    <w:rsid w:val="61073142"/>
    <w:rsid w:val="614078A7"/>
    <w:rsid w:val="667F6545"/>
    <w:rsid w:val="668D4E5B"/>
    <w:rsid w:val="68991AE8"/>
    <w:rsid w:val="6D986C68"/>
    <w:rsid w:val="716D6333"/>
    <w:rsid w:val="7704228E"/>
    <w:rsid w:val="776D2A55"/>
    <w:rsid w:val="77BC4AD1"/>
    <w:rsid w:val="79720AF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uiPriority w:val="99"/>
    <w:rPr>
      <w:rFonts w:ascii="Times New Roman" w:hAnsi="Times New Roman"/>
      <w:szCs w:val="24"/>
    </w:rPr>
  </w:style>
  <w:style w:type="paragraph" w:styleId="6">
    <w:name w:val="toc 2"/>
    <w:basedOn w:val="1"/>
    <w:next w:val="1"/>
    <w:qFormat/>
    <w:uiPriority w:val="99"/>
    <w:pPr>
      <w:ind w:left="420" w:leftChars="200"/>
    </w:pPr>
    <w:rPr>
      <w:rFonts w:ascii="Times New Roman" w:hAnsi="Times New Roman"/>
      <w:szCs w:val="24"/>
    </w:rPr>
  </w:style>
  <w:style w:type="character" w:customStyle="1" w:styleId="9">
    <w:name w:val="Footer Char"/>
    <w:basedOn w:val="7"/>
    <w:link w:val="3"/>
    <w:qFormat/>
    <w:locked/>
    <w:uiPriority w:val="99"/>
    <w:rPr>
      <w:rFonts w:ascii="Times New Roman" w:hAnsi="Times New Roman" w:eastAsia="宋体" w:cs="Times New Roman"/>
      <w:sz w:val="18"/>
      <w:szCs w:val="18"/>
    </w:rPr>
  </w:style>
  <w:style w:type="character" w:customStyle="1" w:styleId="10">
    <w:name w:val="Header Char"/>
    <w:basedOn w:val="7"/>
    <w:link w:val="4"/>
    <w:qFormat/>
    <w:locked/>
    <w:uiPriority w:val="99"/>
    <w:rPr>
      <w:rFonts w:ascii="Times New Roman" w:hAnsi="Times New Roman" w:eastAsia="宋体" w:cs="Times New Roman"/>
      <w:sz w:val="18"/>
      <w:szCs w:val="18"/>
    </w:rPr>
  </w:style>
  <w:style w:type="paragraph" w:customStyle="1" w:styleId="11">
    <w:name w:val="Defaul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2">
    <w:name w:val="Balloon Text Char"/>
    <w:basedOn w:val="7"/>
    <w:link w:val="2"/>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639</Words>
  <Characters>3645</Characters>
  <Lines>0</Lines>
  <Paragraphs>0</Paragraphs>
  <TotalTime>12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Administrator</cp:lastModifiedBy>
  <cp:lastPrinted>2018-03-06T07:37:00Z</cp:lastPrinted>
  <dcterms:modified xsi:type="dcterms:W3CDTF">2020-02-05T08:16:17Z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